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ACJC/987/2018 vom 24. Juli 2018</w:t>
      </w:r>
    </w:p>
    <w:p>
      <w:r>
        <w:t>GE Cour de justice, 2018-07-24, FR</w:t>
      </w:r>
    </w:p>
    <w:p>
      <w:r>
        <w:rPr>
          <w:b/>
        </w:rPr>
        <w:t xml:space="preserve">Quelle: </w:t>
      </w:r>
      <w:r>
        <w:t>https://mcp.opencaselaw.ch/entscheid/ge_gerichte_ACJC_987_2018</w:t>
      </w:r>
    </w:p>
    <w:p>
      <w:r>
        <w:t>FR: GE_GERICHTE ACJC/987/2018 du 24 juillet 2018</w:t>
      </w:r>
    </w:p>
    <w:p>
      <w:r>
        <w:t>IT: GE_GERICHTE ACJC/987/2018 del 24 luglio 2018</w:t>
      </w:r>
    </w:p>
    <w:p>
      <w:pPr>
        <w:pStyle w:val="Heading2"/>
      </w:pPr>
      <w:r>
        <w:t>Volltext</w:t>
      </w:r>
    </w:p>
    <w:p>
      <w:r>
        <w:t>Le présent arrêt est communiqué aux parties par plis recommandés du 24 juillet 2018.</w:t>
      </w:r>
    </w:p>
    <w:p>
      <w:r>
        <w:t>REPUBLIQUE ET</w:t>
      </w:r>
    </w:p>
    <w:p>
      <w:r>
        <w:t>CANTON DE GENEVE POUVOIR JUDICIAIRE C/12563/2017 ACJC/987/2018 ARRÊT DE LA COUR DE JUSTICE Chambre civile DU LUNDI 23 JUILLET 2018</w:t>
      </w:r>
    </w:p>
    <w:p>
      <w:r>
        <w:t>Entre Madame A______, domiciliée ______, appelante d'une ordonnance rendue par la 10ème Chambre du Tribunal de première instance de ce canton le 5 juin 2018, comparant par Me Nicolas Mossaz, avocat, place de Longemalle 1, 1204 Genève, en l'étude duquel elle fait élection de domicile, et Monsieur B______, domicilié ______, intimé, comparant par Me Imed Abdelli, avocat, rue du Mont-Blanc 9, 1201 Genève, en l'étude duquel il fait élection de domicile.</w:t>
      </w:r>
    </w:p>
    <w:p>
      <w:r>
        <w:t>- 2/4 -</w:t>
      </w:r>
    </w:p>
    <w:p>
      <w:r>
        <w:t>C/12563/2017 Attendu, EN FAIT, que par ordonnance OTPI/358/2018 du 5 juin 2018, reçue par A______ le 11 juin suivant, le Tribunal de première instance, statuant sur mesures provisionnelles, a attribué à B______ la jouissance exclusive du domicile conjugal sis ______ à Genève, et du mobilier le garnissant (ch. 1 du dispositif), a ordonné en conséquence à A______ de quitter l'appartement en cause d'ici au 1er juillet 2018 au plus tard (ch. 2), a prononcé l'évacuation visée au chiffre 2 sous la menace de la peine prévue par l'art. 292 CP (ch. 3), a autorisé B______ à requérir par ailleurs l'évacuation par la force publique de A______ dès le 2 juillet 2018 (ch. 4) a réservé la décision sur les frais et dépens sur mesures provisionnelles à la décision finale (ch. 5) et a débouté les parties de toutes autres conclusions (ch. 6); Qu'en substance, le Tribunal a retenu qu'en application du critère de l'utilité, le logement devait être attribué à B______, A______ passant au demeurant la majeure partie de l'année au Maroc; Que, par acte expédié le 20 juin 2018 au greffe de la Cour de justice, A______ a formé appel de cette ordonnance, sollicitant son annulation; Qu'elle a préalablement conclu à ce que le caractère exécutoire de la décision soit suspendu; Qu'invité à se déterminer, B______ a, par écritures du 19 juillet 2018, conclu au rejet de la demande d'effet suspensif; Que les parties ont été avisées par pli du greffe du 23 juillet 2018 de ce que la cause était gardée à juger;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- 3/4 -</w:t>
      </w:r>
    </w:p>
    <w:p>
      <w:r>
        <w:t>C/12563/2017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maintien du caractère exécutoire de l'ordonnance entreprise contraindrait l'appelante à entreprendre des démarches (signature d'un nouveau contrat de bail, déménagement) qui ne seraient que difficilement réversibles dans l'hypothèse, qui ne peut être d'emblée exclue, où elle obtiendrait gain de cause sur ce point; Qu'à l'inverse l'intimé ne subira aucun préjudice durable du maintien, pour quelques mois supplémentaires, de la situation actuelle, qui dure depuis environ une année; Que la requête de suspension du caractère exécutoire de l'ordonnance sera par conséquent admise; Qu'il sera statué sur les frais et dépens liés à la présente décision avec la décision au fond (art. 104 al. 3 CPC). * * * * *</w:t>
      </w:r>
    </w:p>
    <w:p>
      <w:r>
        <w:t>- 4/4 -</w:t>
      </w:r>
    </w:p>
    <w:p>
      <w:r>
        <w:t>C/12563/2017 PAR CES MOTIFS, La Chambre civile : Statuant sur suspension de l'exécution : Suspend le caractère exécutoire de l'ordonnance OTPI/358/2018 rendue le 5 juin 2018 par le Tribunal de première instance dans la cause C/12563/2017-10. Dit qu'il sera statué sur les frais liés à la présente décision dans l'arrêt rendu sur le fond. Siégeant : Madame Nathalie LANDRY-BARTHE, présidente ad interim; Madame Jessica ATHMOUNI, greffière. La présidente ad interim : Nathalie LANDRY-BARTHE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