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ACJC/986/2024 vom 13. August 2024</w:t>
      </w:r>
    </w:p>
    <w:p>
      <w:r>
        <w:t>GE Cour de justice, 2024-08-13, FR</w:t>
      </w:r>
    </w:p>
    <w:p>
      <w:r>
        <w:rPr>
          <w:b/>
        </w:rPr>
        <w:t xml:space="preserve">Quelle: </w:t>
      </w:r>
      <w:r>
        <w:t>https://mcp.opencaselaw.ch/entscheid/ge_gerichte_ACJC_986_2024</w:t>
      </w:r>
    </w:p>
    <w:p>
      <w:r>
        <w:t>FR: GE_GERICHTE ACJC/986/2024 du 13 août 2024</w:t>
      </w:r>
    </w:p>
    <w:p>
      <w:r>
        <w:t>IT: GE_GERICHTE ACJC/986/2024 del 13 agosto 2024</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t>- 4/7 -</w:t>
      </w:r>
    </w:p>
    <w:p>
      <w:r>
        <w:t>C/25458/2023 Le recours étant instruit en procédure sommaire (art. 251 let. a CPC), la preuve des faits allégués doit être apportée par titres (art. 254 CPC). Les maximes des débats et de disposition s'appliquent (art. 55 al. 1, 255 let. a a contrario et art. 58 al. 1 CPC).</w:t>
      </w:r>
    </w:p>
    <w:p>
      <w:r>
        <w:rPr>
          <w:b/>
        </w:rPr>
        <w:t>E. 1.4</w:t>
      </w:r>
    </w:p>
    <w:p>
      <w:r>
        <w:t>Les faits nouveaux allégués et les pièces nouvelles produites par les parties sont irrecevables en application de l'art. 326 al. 1 CPC, sous réserve des faits qui doivent être qualifiés de notoires, tels les extraits du registre du commerce, lesquels ne sont toutefois pas pertinents pour l'issue du litige.</w:t>
      </w:r>
    </w:p>
    <w:p>
      <w:r>
        <w:rPr>
          <w:b/>
        </w:rPr>
        <w:t>E. 2</w:t>
      </w:r>
    </w:p>
    <w:p>
      <w:r>
        <w:t>Le recourant conteste être personnellement débiteur de la somme qui lui est réclamée.</w:t>
      </w:r>
    </w:p>
    <w:p>
      <w:r>
        <w:rPr>
          <w:b/>
        </w:rPr>
        <w:t>E. 2.1.1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l'art. 17 CO n'a pas d'incidence sur l'existence matérielle de l'obligation du débiteur (ATF 131 III 268 consid. 3.2). Partant, la cause sous-jacente doit exister et être valable, conformément à la conception causale de l'obligation en droit suisse (ATF 119 II 452 consid. 1d; 105 II 183 consid. 4a et les références; arrêts du Tribunal fédéral 4A_206/2022 du 26 juillet 2022 consid. 3.3; 5A_989/2021 du</w:t>
      </w:r>
    </w:p>
    <w:p>
      <w:r>
        <w:rPr>
          <w:b/>
        </w:rPr>
        <w:t>E. 2.1.2</w:t>
      </w:r>
    </w:p>
    <w:p>
      <w:r>
        <w:t>Le juge de la mainlevée provisoire ne peut procéder qu'à l'interprétation objective du titre fondée sur le principe de la confiance (arrêts du Tribunal fédéral 5A_595/2021 du 14 janvier 2022 consid. 6.2.1; 5A_1015/2020 du 30 août 2021 consid. 3.2.3 et les références), du point de vue du destinataire sur la seule base du</w:t>
      </w:r>
    </w:p>
    <w:p>
      <w:r>
        <w:t>- 5/7 -</w:t>
      </w:r>
    </w:p>
    <w:p>
      <w:r>
        <w:t>C/25458/2023 titre. La question de savoir si le document présenté peut servir de titre de mainlevée s'examine d'office (art. 57 CPC; arrêt du Tribunal fédéral 5A_160/2021 du 11 mars 2022 consid. 3.1.2). En elle-même, cette question ne nécessite aucune administration de preuve (arrêt du Tribunal fédéral 5A_873/2021 du 4 mars 2022 consid. 5.3.3). Le juge ne peut prendre en compte que les éléments intrinsèques au titre, à l'exclusion des éléments extrinsèques qui échappent à son pouvoir d'examen (ATF 145 III 20 consid. 4.3.3; arrêts du Tribunal fédéral 5A_595/2021 du 14 janvier 2022 loc. cit.; 5A_1015/2020 du 30 août 2021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(arrêt du Tribunal fédéral 5A_99/2017 du 17 août 2017 consid. 3).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5A_873/2021 du</w:t>
      </w:r>
    </w:p>
    <w:p>
      <w:r>
        <w:rPr>
          <w:b/>
        </w:rPr>
        <w:t>E. 2.1.3</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5A_595/2021 du 14 janvier 2022 consid. 6.1). La décision qui accorde ou refuse la mainlevée est une pure décision d'exécution forcée dont le seul objet est de dire si la poursuite peut continuer ou si le créancier est renvoyé à agir par la voie d'un procès ordinaire. En d'autres termes, le prononcé de mainlevée ne produit que des effets de droit des poursuites et ne fonde pas l'exception de chose jugée (res iudicata) quant à l'existence de la créance (ATF 143 III 564 consid. 4.1; 136 III 583 consid. 2.3 et les références; arrêts du Tribunal fédéral 5A_595/2021 du 14 janvier 2022 loc. cit.; 5A_1015/2020 du 30 août 2021 consid. 3.1).</w:t>
      </w:r>
    </w:p>
    <w:p>
      <w:r>
        <w:rPr>
          <w:b/>
        </w:rPr>
        <w:t>E. 2.2</w:t>
      </w:r>
    </w:p>
    <w:p>
      <w:r>
        <w:t>En l'espèce, il ressort du texte du plan de paiement du 28 janvier 2022 que le recourant s'engage à rembourser un montant de 10'000 fr. toutes les deux semaines ("Monsieur A______ s'engage à rembourser …"), sans que la société C______ SA soit mentionnée. Ledit plan de paiement est par ailleurs signé par le recourant, sans que soit mentionné le fait qu'il signerait en qualité de représentant de la société, aucune mention de cette dernière ne figurant à côté de son nom.</w:t>
      </w:r>
    </w:p>
    <w:p>
      <w:r>
        <w:t>- 6/7 -</w:t>
      </w:r>
    </w:p>
    <w:p>
      <w:r>
        <w:t>C/25458/2023 Le plan de paiement indique certes que le recourant est administrateur de la société, mais il ne ressort pas du texte que le recourant reconnaîtrait devoir la somme de 355'416 fr. en cette qualité ou que l'engagement de paiement serait pris au nom de la société. Le fait que le personnel temporaire ait été placé auprès de C______ SA ou le fait que les paiements aient été effectués par cette dernière constituent par ailleurs des éléments extrinsèques dont il ne peut être tenu compte dans le cadre de la présente procédure de mainlevée, mais qui devraient être examinés, le cas échéant, dans une procédure au fond. Ces circonstances n'excluent en tout état de cause pas nécessairement que le recourant, qui est l'administrateur unique de la société, se soit engagé personnellement à rembourser la dette de cette dernière. Au vu de ce qui précède, le recours n'est pas fondé, de sorte qu'il sera rejeté. 3. Le recourant, qui succombe, sera condamnée aux frais du recours (art. 106 al. 1 CPC). Les frais judiciaires seront arrêtés à 1'325 fr. (art. 48 et 61 al. 1 OELP) et compensés avec l'avance versée par le recourant, laquelle reste acquise à l'Etat de Genève (art. 111 al. 1 CPC). Les dépens dus à l'intimée seront fixés à 1'000 fr., TVA et débours compris (art. 25 et 26 al. 1 LaCC; art. 85, 89 et 90 RTFMC). * * * * *</w:t>
      </w:r>
    </w:p>
    <w:p>
      <w:r>
        <w:t>- 7/7 -</w:t>
      </w:r>
    </w:p>
    <w:p>
      <w:r>
        <w:t>C/25458/2023 PAR CES MOTIFS, La Chambre civile : A la forme : Déclare recevable le recours interjeté le 22 avril 2024 par A______ contre le jugement JTPI/4160/2024 rendu le 26 mars 2024 par le Tribunal de première instance dans la cause C/25458/2023-24 SML. Au fond : Rejette ce recours. Déboute les parties de toutes autres conclusions. Sur les frais : Met à la charge de A______ les frais judiciaires de recours, arrêtés à 1'325 fr. et compensés avec l'avance versée, acquise à l'Etat de Genève. Condamne A______ à verser à B______ SA 1'000 fr. de titre de dépens de recours. Siégeant : Monsieur Laurent RIEBEN, président; Madame Fabienne GEISINGER-MARIETHOZ,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3</w:t>
      </w:r>
    </w:p>
    <w:p>
      <w:r>
        <w:t>août 2022 consid. 4.2.1; 5A_438/2019 du 11 juin 2020 consid. 3.1.2; 4A_482/2019 du 10 novembre 2020 consid. 3; 5A_70/2018 du 23 octobre 2018 consid. 3.3.1.3).</w:t>
      </w:r>
    </w:p>
    <w:p>
      <w:r>
        <w:rPr>
          <w:b/>
        </w:rPr>
        <w:t>E. 4</w:t>
      </w:r>
    </w:p>
    <w:p>
      <w:r>
        <w:t>mars 2022 consid.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