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ACJC/986/2022 vom 10. August 2022</w:t>
      </w:r>
    </w:p>
    <w:p>
      <w:r>
        <w:t>GE Cour de justice, 2022-08-10, FR</w:t>
      </w:r>
    </w:p>
    <w:p>
      <w:r>
        <w:rPr>
          <w:b/>
        </w:rPr>
        <w:t xml:space="preserve">Quelle: </w:t>
      </w:r>
      <w:r>
        <w:t>https://mcp.opencaselaw.ch/entscheid/ge_gerichte_ACJC_986_2022</w:t>
      </w:r>
    </w:p>
    <w:p>
      <w:r>
        <w:t>FR: GE_GERICHTE ACJC/986/2022 du 10 août 2022</w:t>
      </w:r>
    </w:p>
    <w:p>
      <w:r>
        <w:t>IT: GE_GERICHTE ACJC/986/2022 del 10 agosto 2022</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Dès lors que le présent litige porte exclusivement sur le montant des contributions à l'entretien, il est de nature pécuniaire (ATF 133 III 393 consid. 2; arrêt du Tribunal fédéral 5A_764/2021 du 11 février 2022 consid. 1).</w:t>
      </w:r>
    </w:p>
    <w:p>
      <w:r>
        <w:t>En l'espèce, la capitalisation, conformément à l'art 92 al. 2 CPC, du montant des contributions d'entretien restées litigieuses au vu des dernières conclusions des parties devant le premier juge excède largement 10'000 fr.</w:t>
      </w:r>
    </w:p>
    <w:p>
      <w:r>
        <w:t>Formé en temps utile et selon la forme prescrite par la loi (art. 130 al. 1 et 314 al. 1 CPC), l'appel est donc recevable.</w:t>
      </w:r>
    </w:p>
    <w:p>
      <w:r>
        <w:t>Bien que l'appelante n'ait pas conclu à l'annulation du chiffre 9 du dispositif du jugement entrepris - qui, formellement, la déboute de ses conclusions concernant son propre entretien -, le fait qu'elle ait expressément conclu au versement d'un montant à ce titre est suffisant pour interpréter, de bonne foi, ses conclusions comme visant à l'annulation de la décision entreprise sur ce point. La Cour entrera</w:t>
      </w:r>
    </w:p>
    <w:p>
      <w:r>
        <w:t>- 6/13 -</w:t>
      </w:r>
    </w:p>
    <w:p>
      <w:r>
        <w:t>C/10743/2021 donc aussi en matière sur l'entretien de l'appelante, les griefs de l'intimé sur la recevabilité étant rejetés.</w:t>
      </w:r>
    </w:p>
    <w:p>
      <w:r>
        <w:rPr>
          <w:b/>
        </w:rPr>
        <w:t>E. 1.2</w:t>
      </w:r>
    </w:p>
    <w:p>
      <w:r>
        <w:t>La Cour revoit la cause en fait et en droit avec un plein pouvoir d'examen (art. 310 CPC).</w:t>
      </w:r>
    </w:p>
    <w:p>
      <w:r>
        <w:t>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147 III 301 consid. 2.2; arrêt du Tribunal fédéral 5A_524/2017 du 9 octobre 2017 consid. 3.1).</w:t>
      </w:r>
    </w:p>
    <w:p>
      <w:r>
        <w:t>En revanche, s'agissant de la contribution d'entretien réclamée par l'appelante, les maximes de disposition (art. 58 al. 1 CPC) et inquisitoire limitée sont applicables (art. 272 CPC; ATF 128 III 411 consid. 3.2.2; 147 III 301 consid. 2.2).</w:t>
      </w:r>
    </w:p>
    <w:p>
      <w:r>
        <w:t>L'autorité judiciaire qui se prononce sur des mesures provisionnelles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arrêt du Tribunal fédéral 5A_916/2019 du 12 mars 2020 consid. 2.2).</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1.3.2</w:t>
      </w:r>
    </w:p>
    <w:p>
      <w:r>
        <w:t>Etant donné que les pièces nouvelles produites en appel par l'intimé avec ses écritures responsive et de duplique sont susceptibles de jouer un rôle dans l'appréciation de la situation financière des parties pertinente pour déterminer la contribution d'entretien de l'enfant mineur, elles sont recevables, ainsi que les faits qui s'y rapportent.</w:t>
      </w:r>
    </w:p>
    <w:p>
      <w:r>
        <w:t>En revanche, les courriers et pièces expédiés par l'intimé après que la Cour a gardé à la cause à juger sont irrecevables (ATF 142 III 413 consid. 2.2.5 et 2.2.6; arrêt du Tribunal fédéral 5A_451/2020 du 31 mars 2021 consid. 3).</w:t>
      </w:r>
    </w:p>
    <w:p>
      <w:r>
        <w:t>- 7/13 -</w:t>
      </w:r>
    </w:p>
    <w:p>
      <w:r>
        <w:t>C/10743/2021</w:t>
      </w:r>
    </w:p>
    <w:p>
      <w:r>
        <w:rPr>
          <w:b/>
        </w:rPr>
        <w:t>E. 2.1.1</w:t>
      </w:r>
    </w:p>
    <w:p>
      <w:r>
        <w:t>La question de savoir si des mesures provisionnelles peuvent être ordonnées dans le cadre d'une procédure de mesures protectrices de l'union conjugale, qui constituent déjà elles-mêmes des mesures provisionnelles, est controversée en doctrine (voir sur l'ensemble de la question : KOFMEL EHRENZELLER, Vorsorgliche Anordnung von Unterhaltszahlungen im Eheschutzverfahren – ein Diskussionsbeitrag zur Frage der Zulässigkeit, FamPra.ch 2021 p. 19 et suivantes et les références citées).</w:t>
      </w:r>
    </w:p>
    <w:p>
      <w:r>
        <w:t>Le Tribunal fédéral a laissé la question ouverte (arrêts du Tribunal fédéral 5A_212/2012 du 15 août 2012 consid. 2.2.2; 5A_541/2019 du 8 mai 2020 consid. 1.1). Eu égard à cette controverse, il a jugé que ni l'acceptation ni le refus de telles mesures n'apparaissait arbitraire (arrêt du Tribunal fédéral 5A_870/2013 du 28 octobre 2014 consid. 5).</w:t>
      </w:r>
    </w:p>
    <w:p>
      <w:r>
        <w:t>La Cour de céans reconnaît la possibilité de prononcer valablement de telles mesures, notamment lorsque la procédure de mesures protectrices de l'union conjugale risque de se prolonger. Elles ne peuvent toutefois être ordonnées que pour autant que les conditions posées par l'art. 261 CPC soient réunies (ACJC/1454/2021 du 9 novembre 2021 consid. 3.1 et les références citées).</w:t>
      </w:r>
    </w:p>
    <w:p>
      <w:r>
        <w:rPr>
          <w:b/>
        </w:rPr>
        <w:t>E. 2.1.2</w:t>
      </w:r>
    </w:p>
    <w:p>
      <w:r>
        <w:t>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w:t>
      </w:r>
    </w:p>
    <w:p>
      <w:r>
        <w:t>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 CPC, 2ème éd. 2019, n. 3 et suivantes ad art. 261 CPC).</w:t>
      </w:r>
    </w:p>
    <w:p>
      <w:r>
        <w:t>Dans le contexte particulier de mesures provisionnelles sollicitées dans le cadre d'une procédure de mesures protectrices de l'union conjugale, l'existence d'un préjudice difficilement réparable doit être appréciée au regard des conséquences concrètes qu'aurait pour la partie requérante l'absence de telles mesures. Un tel préjudice doit ainsi notamment être admis s'il est rendu vraisemblable que, à défaut de mesures provisionnelles, la partie requérante serait contrainte de modifier de manière importante son organisation en prenant des mesures sur lesquelles il ne lui sera que difficilement possible de revenir par la suite. En revanche, le fait de devoir renoncer pendant la durée de la procédure à certaines</w:t>
      </w:r>
    </w:p>
    <w:p>
      <w:r>
        <w:t>- 8/13 -</w:t>
      </w:r>
    </w:p>
    <w:p>
      <w:r>
        <w:t>C/10743/2021 dépenses (voyages de loisirs, achat d'un nouveau véhicule plus luxueux, etc.), n'influant pas durablement sur les conditions d'existence de l'époux requérant, ne saurait être considéré comme constitutif d'un préjudice difficilement réparable. (ACJC/1684/2019 cité consid. 4.1; ACJC/1387/2019 du 24 septembre 2019 consid. 3.2; ACJC/824/2016 du 10 juin 2016 consid. 3.1.1).</w:t>
      </w:r>
    </w:p>
    <w:p>
      <w:r>
        <w:rPr>
          <w:b/>
        </w:rPr>
        <w:t>E. 2.1.3</w:t>
      </w:r>
    </w:p>
    <w:p>
      <w:r>
        <w:t>Selon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w:t>
      </w:r>
    </w:p>
    <w:p>
      <w:r>
        <w:t>Selon l'art. 285 CC, la contribution d'entretien due à l'enfant doit correspondre aux besoins de celui-ci ainsi qu'à la situation et aux ressources des père et mère, compte tenu de la fortune et des revenus de l'enfant (al. 1). La contribution d'entretien sert aussi à garantir la prise en charge de l'enfant par les parents et les tiers (al. 2).</w:t>
      </w:r>
    </w:p>
    <w:p>
      <w:r>
        <w:t>Les besoins de l'enfant doivent être répartis entre les père et mère en fonction de leurs capacités contributives respectives (arrêts du Tribunal fédéral 5A_583/2018 du 18 janvier 2019 consid. 5.1; 5A_119/2017 du 30 août 2017 consid. 7.1).</w:t>
      </w:r>
    </w:p>
    <w:p>
      <w:r>
        <w:t>Le principe et le montant de la contribution d'entretien due au conjoint selon l'art. 176 CC se déterminent en fonction des facultés économiques et des besoins respectifs des époux (ATF 121 I 97 consid. 3b; arrêt du Tribunal fédéral 5A_534/2019 du 31 janvier 2020 consid. 4.1).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(ATF 147 III 293 consid. 4.4; 137 III 385 consid. 3.1; arrêt du Tribunal fédéral 5A_848/2017 du 15 mai 2018).</w:t>
      </w:r>
    </w:p>
    <w:p>
      <w:r>
        <w:t>Dans trois arrêts désormais publiés, le Tribunal fédéral a posé, pour toute la Suisse, une méthode de calcul uniforme des contributions d'entretien du droit de la famille, dite en deux étapes avec répartition de l'excédent (ATF 147 III 265 = SJ 2021 I 316, 147 III 293 et 147 III 301). Selon cette méthode, il convient de déterminer les ressources et besoins des personnes intéressées, puis les ressources sont réparties entre les membres de la famille concernés de manière à couvrir,</w:t>
      </w:r>
    </w:p>
    <w:p>
      <w:r>
        <w:t>- 9/13 -</w:t>
      </w:r>
    </w:p>
    <w:p>
      <w:r>
        <w:t>C/10743/2021 dans un certain ordre, le minimum vital du droit des poursuites ou, si les ressources sont suffisantes, le minimum vital élargi du droit de la famille, puis répartir l'éventuel excédent (ATF 147 III 265 consid. 7 = SJ 2021 I 316).</w:t>
      </w:r>
    </w:p>
    <w:p>
      <w:r>
        <w:t>Lorsque les conclusions ne précisent pas la date à partir de laquelle les contributions sont réclamées, il n'est pas arbitraire de retenir qu'elles le sont à compter du jour du dépôt de la requête (arrêts du Tribunal fédéral 5A_454/2017 du 17 mai 2018 consid. 4.1; 5A_458/2014 du 8 septembre 2014 consid. 4.1.2 et les références)</w:t>
      </w:r>
    </w:p>
    <w:p>
      <w:r>
        <w:t>Le versement d'une contribution d'entretien en espèces suppose une capacité contributive correspondante (art. 285 al. 1 CC), ce qui est le cas lorsque les revenus de l'intéressé excèdent ses propres besoins (arrêt du Tribunal fédéral 5A_450/2020 du 4 janvier 2021 consid. 5.3 et les références; sur le respect du minimum vital du débirentier: ATF 144 II consid. 6.5; 137 III 59 consid. 4.2.1; 135 III 66 consid. 1; 123 III 1 consid. 3b/bb et consid. 5 in fine).</w:t>
      </w:r>
    </w:p>
    <w:p>
      <w:r>
        <w:rPr>
          <w:b/>
        </w:rPr>
        <w:t>E. 2.2.1</w:t>
      </w:r>
    </w:p>
    <w:p>
      <w:r>
        <w:t>Concernant la contribution d'entretien de l'enfant, le Tribunal a constaté que la contribution que l'intimé s'était engagé à verser couvrait, avec les autres montants perçus pour l'enfant, en grande partie les charges de celle-ci. De surcroît, il n'était pas rendu vraisemblable que l'appelante risquait de subir une atteinte ne pouvant qu'être difficilement réparée par la décision finale, soit notamment par le versement d'une contribution à titre rétroactif.</w:t>
      </w:r>
    </w:p>
    <w:p>
      <w:r>
        <w:t>Sur ce point, l'appelante considère que le premier juge aurait dû tenir compte de revenus dissimulés par l'intimé en s'éloignant des déclarations fiscales et des bilans pour retenir un revenu approximativement deux fois plus élevé (soit environ 6'750 fr.), qui s'accordait d'ailleurs avec le train de vie des époux pendant la vie commune. Il ne pouvait être exigé de l'enfant qu'elle couvre son entretien avec les montants perçus pour elle.</w:t>
      </w:r>
    </w:p>
    <w:p>
      <w:r>
        <w:t>Ce raisonnement ne peut être suivi. Des mesures provisionnelles rendues dans une procédure de mesures protectrices de l'union conjugale posent un contexte particulier. Eu égard au caractère de "procédure sommaire dans la procédure sommaire" de ces mesures provisionnelles, l'exigence posée quant à l'examen des faits et du droit est limitée. L'intervention du juge vise à éviter que les circonstances aboutissent à une situation qui ne peut pas être réparée par une décision "au fond" ultérieure, un examen approfondi de la cause ne peut donc être exigé.</w:t>
      </w:r>
    </w:p>
    <w:p>
      <w:r>
        <w:t>Or, s'agissant de l'enfant, l'appelante ne conteste pas que son entretien mensuel minimal est pratiquement couvert par la contribution fixée à ce stade (charges minimales (hors cours d'anglais) : 1'175 fr. arrondis ; rente, allocations familiales, paiements opérés par le père et contribution d'entretien : 1'150 fr. arrondis).</w:t>
      </w:r>
    </w:p>
    <w:p>
      <w:r>
        <w:t>- 10/13 -</w:t>
      </w:r>
    </w:p>
    <w:p>
      <w:r>
        <w:t>C/10743/2021</w:t>
      </w:r>
    </w:p>
    <w:p>
      <w:r>
        <w:t>Les mesures provisionnelles des art. 261 et suivants CPC visent à régler de manière provisoire une situation d'urgence, dans le but de prévenir la survenance d'un préjudice difficilement réparable (art. 261 al. 1 CPC). Il en résulte que, si le prononcé de telles mesures s'avère nécessaire dans le cadre d'une procédure de mesures protectrices de l'union conjugale afin d'éviter que l'un des époux ou des enfants ne tombent dans le besoin, leur portée devra être limitée à la couverture des besoins fondamentaux des membres de la famille dont il est rendu vraisemblable qu'ils ne peuvent y subvenir par leurs propres moyens. Il ne s'agit donc pas, dans le cadre de telles mesures provisionnelles, de fixer une contribution d'entretien permettant de couvrir le minimum vital élargi des bénéficiaires, ni a fortiori de répartir entre les divers membres de la famille un éventuel excédent. C'est dans le cadre de sa décision finale que le juge des mesures protectrices procèdera à l'examen des différents éléments pertinents, parmi lesquels l'imputation à l'un ou l'autre époux d'un éventuel revenu hypothétique pour fixer les contributions dues conformément aux art. 176 al. 1 et 285 et suivants CC.</w:t>
      </w:r>
    </w:p>
    <w:p>
      <w:r>
        <w:t>C'est ainsi à juste titre, dans le cas d'espèce, que le premier juge, constatant que le minimum vital de l'enfant était couvert par les diverses prestations lui revenant et les paiements de l'intimé, s'est borné à donner acte à ce dernier de ses engagements et à le condamner en tant que de besoin à les exécuter.</w:t>
      </w:r>
    </w:p>
    <w:p>
      <w:r>
        <w:t>Les griefs en lien avec la contribution d'entretien de l'enfant seront ainsi rejetés.</w:t>
      </w:r>
    </w:p>
    <w:p>
      <w:r>
        <w:rPr>
          <w:b/>
        </w:rPr>
        <w:t>E. 2.2.2</w:t>
      </w:r>
    </w:p>
    <w:p>
      <w:r>
        <w:t>Quant à la contribution à l'entretien de l'appelante, le Tribunal a retenu qu'aucun préjudice ne pouvant être réparé par une décision ultérieure n'était rendu vraisemblable et que l'appelante n'avait pas formellement pris de conclusions sur mesures provisionnelles concernant son propre entretien.</w:t>
      </w:r>
    </w:p>
    <w:p>
      <w:r>
        <w:t>S'agissant, en premier lieu de la question des conclusions, l'appelante se contente de considérer l'argumentation du Tribunal comme "choquante", sans pour autant parvenir à désigner à quel moment elle aurait formulé des conclusions sur mesures provisionnelles relatives à son propre entretien, question qui est, il faut le rappeler, soumise à la maxime de disposition. Si elle a formulé des conclusions sur mesures superprovisionnelles et sur mesures protectrices concernant son entretien, elle n'a cependant jamais pris formellement des conclusions sur mesures provisionnelles. Ses conclusions doivent donc être interprétées comme tendant, après le rejet de sa requête en mesures superprovisionnelles, à attendre un prononcé sur mesures protectrices. Il s'ensuit que cet argument scelle déjà le sort de la cause en ce qu'elle porte sur la contribution d'entretien sur mesures provisionnelles que l'appelante réclame en appel.</w:t>
      </w:r>
    </w:p>
    <w:p>
      <w:r>
        <w:t>De surcroît, l'appelante perçoit un revenu régulier, dont elle conteste, sans convaincre, la quotité en appel : les relevés bancaires et d'assurance, corroborés</w:t>
      </w:r>
    </w:p>
    <w:p>
      <w:r>
        <w:t>- 11/13 -</w:t>
      </w:r>
    </w:p>
    <w:p>
      <w:r>
        <w:t>C/10743/2021 par ses propres allégués, montrent que le montant retenu par le Tribunal est le plus vraisemblable. L'évolution de la situation révèle qu'elle a continué à payer son loyer et ses frais de base au moins jusqu'à ce stade. La cause étant gardée à juger sur mesures protectrices, il est à prévoir qu'une décision sera rendue à brève échéance, qui comportera, cas échéant, le paiement d'un montant de contribution rétroactif permettant de compenser le déficit mensuel de l'appelante. Il n'existe donc pas d'indices suffisants permettant de retenir qu'un risque de préjudice difficilement réparable par une décision ultérieure est rendu vraisemblable.</w:t>
      </w:r>
    </w:p>
    <w:p>
      <w:r>
        <w:t>A cela s'ajoute que, au vu de la situation financière de l'intimé telle qu'établie par le Tribunal à ce stade de la procédure, et qui ne doit pas être revue de manière plus approfondie dans le cadre de la présente décision conformément aux principes applicables, l'intimé ne serait vraisemblablement de toute manière pas en mesure de lui verser un quelconque montant, sans entamer son minimum vital.</w:t>
      </w:r>
    </w:p>
    <w:p>
      <w:r>
        <w:t>Par conséquent, les griefs de l'appelante seront rejetés et la décision entreprise confirmée.</w:t>
      </w:r>
    </w:p>
    <w:p>
      <w:r>
        <w:rPr>
          <w:b/>
        </w:rPr>
        <w:t>E. 3.1</w:t>
      </w:r>
    </w:p>
    <w:p>
      <w:r>
        <w:t>Les frais judiciaires d'appel seront fixés à 800 fr. (art. 2, 31, 35 et 37 RTFMC). Ils seront mis à la charge des parties à raison d'une moitié chacune, au vu de la nature familiale du litige et pour des raisons d'équité (art. 106 et 107 al. 1 let. c CPC).</w:t>
      </w:r>
    </w:p>
    <w:p>
      <w:r>
        <w:t>La part des frais judiciaires d'appel à la charge de l'appelante, qui plaide au bénéfice de l'assistance judiciaire, sera provisoirement supportée par l'Etat de Genève (art. 111 al. 3 et 122 al. 1 let. b CPC).</w:t>
      </w:r>
    </w:p>
    <w:p>
      <w:r>
        <w:rPr>
          <w:b/>
        </w:rPr>
        <w:t>E. 3.2</w:t>
      </w:r>
    </w:p>
    <w:p>
      <w:r>
        <w:t>Pour les mêmes raisons, les parties conserveront leurs propres dépens à leur charge. * * * * *</w:t>
      </w:r>
    </w:p>
    <w:p>
      <w:r>
        <w:t>- 12/13 -</w:t>
      </w:r>
    </w:p>
    <w:p>
      <w:r>
        <w:t>C/10743/2021 PAR CES MOTIFS, La Chambre civile : A la forme : Déclare recevable l'appel interjeté le 23 décembre 2021 par A______ contre l'ordonnance OTPI/956/2021 rendue le 20 décembre 2021 par le Tribunal de première instance dans la cause C/10743/2021. Au fond : Confirme l'ordonnance entreprise. Déboute les parties de toutes autres conclusions. Sur les frais : Arrête les frais judiciaires d'appel à 800 fr. et les met à charge des parties à raison d'une moitié chacune. Dit que la part des frais à la charge de A______ est provisoirement supportée par l'Etat de Genève. Condamne B______ à verser 400 fr. à l'Etat de Genève, soit pour lui les Services financiers du Pouvoir judiciaire, au titre des frais judiciaires d'appel. Dit qu'il n'est pas alloué de dépens d'appel. Siégeant : Monsieur Laurent RIEBEN, président; Monsieur Patrick CHENAUX, Madame Fabienne GEISINGER-MARIETHOZ, juges; Madame Jessica ATHMOUNI, greffière.</w:t>
      </w:r>
    </w:p>
    <w:p>
      <w:r>
        <w:t>Le président : Laurent RIEBEN</w:t>
      </w:r>
    </w:p>
    <w:p>
      <w:r>
        <w:t>La greffière : Jessica ATHMOUNI</w:t>
      </w:r>
    </w:p>
    <w:p>
      <w:r>
        <w:t>- 13/13 -</w:t>
      </w:r>
    </w:p>
    <w:p>
      <w:r>
        <w:t>C/10743/2021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