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ACJC/984/2021 vom 4. Mai 2021</w:t>
      </w:r>
    </w:p>
    <w:p>
      <w:r>
        <w:t>GE Cour de justice, 2021-05-04, FR</w:t>
      </w:r>
    </w:p>
    <w:p>
      <w:r>
        <w:rPr>
          <w:b/>
        </w:rPr>
        <w:t xml:space="preserve">Quelle: </w:t>
      </w:r>
      <w:r>
        <w:t>https://mcp.opencaselaw.ch/entscheid/ge_gerichte_ACJC_984_2021</w:t>
      </w:r>
    </w:p>
    <w:p>
      <w:r>
        <w:t>FR: GE_GERICHTE ACJC/984/2021 du 4 mai 2021</w:t>
      </w:r>
    </w:p>
    <w:p>
      <w:r>
        <w:t>IT: GE_GERICHTE ACJC/984/2021 del 4 maggio 2021</w:t>
      </w:r>
    </w:p>
    <w:p>
      <w:pPr>
        <w:pStyle w:val="Heading2"/>
      </w:pPr>
      <w:r>
        <w:t>Volltext</w:t>
      </w:r>
    </w:p>
    <w:p>
      <w:r>
        <w:t>Le présent arrêt est communiqué aux parties par plis recommandés du 04.08.2021.</w:t>
      </w:r>
    </w:p>
    <w:p>
      <w:r>
        <w:t>REPUBLIQUE ET</w:t>
      </w:r>
    </w:p>
    <w:p>
      <w:r>
        <w:t>CANTON DE GENEVE POUVOIR JUDICIAIRE C/22561/2020 ACJC/984/2021 ARRÊT DE LA COUR DE JUSTICE Chambre civile DU MARDI 27 JUILLET 2021</w:t>
      </w:r>
    </w:p>
    <w:p>
      <w:r>
        <w:t>Entre A______ LTD, sise ______ (Grande-Bretagne), requérante, comparant par Me Claude RAMONI, avocat, avenue de Rhodanie 54, case postale 1044, 1001 Lausanne, en l'Étude duquel elle fait élection de domicile, et Monsieur B______, domicilié ______ [GE], cité, comparant par Me Patrick KÖNITZER, avocat, KAISER ODERMATT &amp; PARTNER AG, baarerstrasse 12, case postale 458, 6301 Zug, en l'Étude duquel il fait élection de domicile.</w:t>
      </w:r>
    </w:p>
    <w:p>
      <w:r>
        <w:t>- 2/3 -</w:t>
      </w:r>
    </w:p>
    <w:p>
      <w:r>
        <w:t>C/22561/2020 Vu le jugement OSQ/23/2021 rendu par voie de procédure sommaire le 4 mai 2021 par le Tribunal de première instance dans la cause C/22561/2020, déclarant notamment recevable l'opposition formée le 7 décembre 2020 par B______ contre l'ordonnance de séquestre rendue le 18 décembre 2020 dans la cause n° C/22561/2020, et rejetant l'opposition; Attendu, EN FAIT, que par acte du 14 mai 2021, A______ LTD a informé la Cour de ce qu'elle entendait requérir la fourniture de sûretés en cas d'appel de B______ contre le jugement précité; Que par acte du 17 mai 2021, B______ a formé recours contre le jugement du 4 mai 2021; Que par courrier du 28 mai 2021, la Cour a imparti un délai de 10 jours à A______ LTD pour chiffrer sa requête de sûretés; Que le 31 mai 2021, A______ SARL a chiffré sa requête à 70'000 fr., Considérant, EN DROIT, qu'à teneur de l'art. 99 al. 3 let. c CPC, il n'y a pas lieu à la fourniture de sûretés dans la procédure sommaire, à l'exception de la procédure applicable dans les cas clairs; Qu'ainsi, la requête de A______, formée dans le cadre d'un recours contre un jugement rendu en procédure sommaire, doit être rejetée, ce que la Cour peut constater d'entrée de cause et sans débats, en application de l'art. 322 al. 1 CPC in fine; Que A______ LTD sera condamnée aux frais judiciaires, arrêtés à 700 fr., compte tenu de l'activité déployée par la Cour; Que ces frais seront compensés avec l'avance fournie, acquise à l'Etat. Qu'il n'y a pas lieu à l'allocation de dépens, B______ n'ayant pas été invité à se déterminer. * * * * *</w:t>
      </w:r>
    </w:p>
    <w:p>
      <w:r>
        <w:t>- 3/3 -</w:t>
      </w:r>
    </w:p>
    <w:p>
      <w:r>
        <w:t>C/22561/2020 PAR CES MOTIFS, La Chambre civile : Rejette, dans la mesure de sa recevabilité, la requête de sûretés formée par A______ LTD le 14 mai 2021, dans la cause C/22561/2020-13 SQP. Arrête les frais judiciaires à 700 fr., les met à la charge de A______ LTD et dit qu'ils sont compensés avec l'avance fournie, acquise à l'Etat de Genève. Dit qu'il n'y a pas lieu à l'allocation de dépens. Siégeant : Madame Pauline ERARD, présidente; Monsieur Ivo BUETTI et Madame Ursula ZEHETBAUER GHAVAMI,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