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ACJC/981/2022 vom 4. August 2022</w:t>
      </w:r>
    </w:p>
    <w:p>
      <w:r>
        <w:t>GE Cour de justice, 2022-08-04, FR</w:t>
      </w:r>
    </w:p>
    <w:p>
      <w:r>
        <w:rPr>
          <w:b/>
        </w:rPr>
        <w:t xml:space="preserve">Quelle: </w:t>
      </w:r>
      <w:r>
        <w:t>https://mcp.opencaselaw.ch/entscheid/ge_gerichte_ACJC_981_2022</w:t>
      </w:r>
    </w:p>
    <w:p>
      <w:r>
        <w:t>FR: GE_GERICHTE ACJC/981/2022 du 4 août 2022</w:t>
      </w:r>
    </w:p>
    <w:p>
      <w:r>
        <w:t>IT: GE_GERICHTE ACJC/981/2022 del 4 agosto 2022</w:t>
      </w:r>
    </w:p>
    <w:p>
      <w:pPr>
        <w:pStyle w:val="Heading2"/>
      </w:pPr>
      <w:r>
        <w:t>Erwägungen</w:t>
      </w:r>
    </w:p>
    <w:p>
      <w:r>
        <w:rPr>
          <w:b/>
        </w:rPr>
        <w:t>E. 1.1</w:t>
      </w:r>
    </w:p>
    <w:p>
      <w:r>
        <w:t>Selon l'art. 308 al. 1 CPC, l'appel est recevable contre les décisions finales et les décisions incidentes de première instance. 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w:t>
      </w:r>
    </w:p>
    <w:p>
      <w:r>
        <w:t>- 6/12 -</w:t>
      </w:r>
    </w:p>
    <w:p>
      <w:r>
        <w:t>C/6422/2020 immédiat selon la valeur litigieuse en cause; elle ne peut être attaquée ultérieurement avec la décision finale (art. 237 al. 2 CPC). En l'occurrence, le jugement entrepris est une décision incidente immédiatement attaquable, puisque le prononcé par la Cour d'une décision contraire aurait pour conséquence de mettre fin au procès entre l'appelante et l'intimé, contre laquelle la voie de l'appel est ouverte au vu de la valeur litigieuse supérieure à 10'000 fr.</w:t>
      </w:r>
    </w:p>
    <w:p>
      <w:r>
        <w:rPr>
          <w:b/>
        </w:rPr>
        <w:t>E. 1.2</w:t>
      </w:r>
    </w:p>
    <w:p>
      <w:r>
        <w:t>Interjeté dans une affaire patrimoniale dont la valeur litigieuse au dernier état des conclusions est supérieure à 10'000 fr. (art. 308 al. 2 CPC), dans le délai utile de trente jours et selon la forme prescrite par la loi (art. 130 al. 1, 142 al. 1, et 311 CPC), l'appel est recevable.</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 sur les points que l'appelante estime entachés d'erreurs et qui ont fait l'objet d'une motivation suffisante (arrêt du Tribunal fédéral 4A_290/2014 du 1er septembre 2014 consid. 5).</w:t>
      </w:r>
    </w:p>
    <w:p>
      <w:r>
        <w:rPr>
          <w:b/>
        </w:rPr>
        <w:t>E. 2</w:t>
      </w:r>
    </w:p>
    <w:p>
      <w:r>
        <w:t>L'appelant sollicite de la Cour qu'il soit ordonné à C______ de produire le document intitulé "Consultation mémoire" du 4 juin 2020, l'attestation médicale du 11 décembre 2020 ainsi que tout autre document permettant de déterminer la date à laquelle il est devenu incapable de discernement.</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w:t>
      </w:r>
    </w:p>
    <w:p>
      <w:r>
        <w:t>- 7/12 -</w:t>
      </w:r>
    </w:p>
    <w:p>
      <w:r>
        <w:t>C/6422/2020 des preuves qu'elle tient pour acquis (ATF 138 III 374 consid. 4.3.1. et 4.3.2; arrêts du Tribunal fédéral 4A_228/2012 consid. 2.3 et 5A_906/2012 du 18 avril 2013 consid. 5.1.2).</w:t>
      </w:r>
    </w:p>
    <w:p>
      <w:r>
        <w:rPr>
          <w:b/>
        </w:rPr>
        <w:t>E. 2.2</w:t>
      </w:r>
    </w:p>
    <w:p>
      <w:r>
        <w:t>En l'espèce, et comme cela sera examiné ci-après (consid. 4.4), l'appréciation des preuves faite par les premiers juges n'est pas critiquable. Par ailleurs, le Tribunal a considéré à bon droit que les documents dont la production est requise n'aurait pas permis de trancher autrement la question de la capacité antérieure au 11 décembre 2020. Comme cela sera examiné ci-après (consid. 4.4), le refus du Tribunal d'ordonner la production des documents n'est pas critiquable de sorte que le droit à la preuve n'a pas été violé. En conclusion, il ne se justifie pas de donner suite aux mesures d'instruction sollicitées par l'appelante.</w:t>
      </w:r>
    </w:p>
    <w:p>
      <w:r>
        <w:rPr>
          <w:b/>
        </w:rPr>
        <w:t>E. 3</w:t>
      </w:r>
    </w:p>
    <w:p>
      <w:r>
        <w:t>L'appelante conclut nouvellement à l'irrecevabilité des demandes objets de la présente procédure, motif pris de ce qu'elles auraient été introduites devant le Tribunal en un seul acte.</w:t>
      </w:r>
    </w:p>
    <w:p>
      <w:r>
        <w:rPr>
          <w:b/>
        </w:rPr>
        <w:t>E. 3.1.1</w:t>
      </w:r>
    </w:p>
    <w:p>
      <w:r>
        <w:t>Conformément à l'art. 317 al. 2 CPC, la prise de conclusions nouvelles en appel n'est admise que si les conditions fixées à l'art. 227 al. 1 CPC sont remplies et si ces conclusions reposent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3.1.2</w:t>
      </w:r>
    </w:p>
    <w:p>
      <w:r>
        <w:t>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(cf. notamment : ATF 138 III 374 consid. 4.3.2; arrêt du Tribunal fédéral 5A_597/2007 du 17 avril 2008 consid. 2.3; BOHNET, Commentaire romand du Code de procédure civile, 2019, n. 28 ad art. 52 CPC). La bonne foi impose également de soulever l'exception d'incompétence préalablement à toute défense au fond (ATF 128 III 50 consid. 2c/aa et la référence). L'existence d'un abus de droit se détermine selon les circonstances concrètes du cas (ATF 138 III 425 consid. 5.2; 138 III 401 consid. 2.4.1; 129 III 493 consid. 5.1). Il faut se garder de retenir trop facilement l'existence d'un comportement abusif. Les parties sont en droit de se prévaloir des règles de</w:t>
      </w:r>
    </w:p>
    <w:p>
      <w:r>
        <w:t>- 8/12 -</w:t>
      </w:r>
    </w:p>
    <w:p>
      <w:r>
        <w:t>C/6422/2020 procédure et d'exiger le respect des formes procédurales (BOHNET, op. cit., n. 25 ad art. 52 CPC).</w:t>
      </w:r>
    </w:p>
    <w:p>
      <w:r>
        <w:rPr>
          <w:b/>
        </w:rPr>
        <w:t>E. 3.2</w:t>
      </w:r>
    </w:p>
    <w:p>
      <w:r>
        <w:t>En l'espèce, l'appelante soutient que le Tribunal aurait dû d'office examiner la recevabilité de la requête introduite par l'intimé. Devant les premiers juges, l'appelante a conclu à l'irrecevabilité de la demande en raison de l'incapacité de discernement de l'intimé. Elle ne s'est pas prévalue, dans ses diverses écritures, d'une supposée irrecevabilité de l'acte introduit au Tribunal comprenant les trois demandes. Cette conclusion est irrecevable devant la Cour. Par ailleurs, l'appelante se prévaut de ce grief de manière contraire à la bonne foi, dès lors qu'elle a eu connaissance, dès le début de la procédure, du fait précité.</w:t>
      </w:r>
    </w:p>
    <w:p>
      <w:r>
        <w:rPr>
          <w:b/>
        </w:rPr>
        <w:t>E. 4</w:t>
      </w:r>
    </w:p>
    <w:p>
      <w:r>
        <w:t>L'appelante reproche au Tribunal une violation de son droit d'être entendue dès lors qu'il n'a pas donné suite à ses offres de preuve et a retenu que l'intimé était capable de discernement au moment de l'introduction des demandes en conciliation.</w:t>
      </w:r>
    </w:p>
    <w:p>
      <w:r>
        <w:rPr>
          <w:b/>
        </w:rPr>
        <w:t>E. 4.1.1</w:t>
      </w:r>
    </w:p>
    <w:p>
      <w:r>
        <w:t>Toute personne majeure et capable de discernement a l'exercice des droits civils (art. 13 CC). La capacité de discernement des adultes majeurs est présumée d'après l'expérience générale de la vie (art. 16 CC; ATF 134 II 235 consid. 4.3.3; 124 III 5 consid. 1b). Par conséquent, il appartient à celui qui prétend qu'elle fait défaut de le prouver. Cette preuve n'est soumise à aucune prescription particulière; un très haut degré de vraisemblance excluant tout doute sérieux suffit (art. 8 CC; ATF 117 II 231 consid. 2b; arrêt du Tribunal fédéral 4A_421/2016 du 13 décembre 2016 consid. 5.2). Pour qu'une personne soit jugée incapable de discernement, il faut que deux conditions cumulatives soient remplies. Il faut premièrement qu'elle n'ait pas la faculté d'agir raisonnablement. Cette faculté comporte deux éléments : un élément intellectuel, la capacité d'apprécier le sens, l'opportunité et les effets d'un acte déterminé, et un élément volontaire ou caractériel, la faculté d'agir en fonction de cette compréhension raisonnable, selon sa libre volonté.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consid. 4.3.2; arrêt du Tribunal fédéral 4A_421/2016 précité, ibidem). Pour être jugé incapable de discernement,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précité ibidem).</w:t>
      </w:r>
    </w:p>
    <w:p>
      <w:r>
        <w:t>- 9/12 -</w:t>
      </w:r>
    </w:p>
    <w:p>
      <w:r>
        <w:t>C/6422/2020 Toute atteinte à la santé mentale ne permet pas de présumer l'incapacité de discernement. Il faut que cette atteinte crée une dégradation durable et importante des facultés de l'esprit (arrêts du Tribunal fédéral 5A_16/2016 du 26 mai 2016 consid. 4.1.3; 5A_501/2013 du 13 janvier 2014 consid. 6.1.2 in fine). Ce n'est que lorsqu'une personne est atteinte de maladie mentale ou de faiblesse d'esprit que l'incapacité de discernement est présumée et que celui qui se prévaut de la validité de l'acte litigieux doit établir, au stade de la vraisemblance prépondérante, que la personne concernée a accompli l'acte litigieux dans un moment de lucidité (ATF 124 III 5 consid. 1b; arrêts du Tribunal fédéral 5A_859/2014 du 17 mars 2015 consid. 4.1.2; 5A_795/2013 précité, ibidem).</w:t>
      </w:r>
    </w:p>
    <w:p>
      <w:r>
        <w:rPr>
          <w:b/>
        </w:rPr>
        <w:t>E. 4.1.2</w:t>
      </w:r>
    </w:p>
    <w:p>
      <w:r>
        <w:t>L'exercice des droits civils confère la capacité d'ester en justice (art. 67 al. 1 CPC). La personne qui n'a pas l'exercice des droits civils agit par l'intermédiaire de son représentant légal (al. 2). La capacité d'ester en justice est une notion de procédure, laquelle dépend du droit matériel puisqu'elle se réfère à la notion d'exercice des droits civils. Elle constitue une condition de recevabilité de la demande et, à ce titre, est examinée d'office par le juge (JEANDIN, Commentaire romand du Code de procédure civile, 2019, n. 16 ad art. 67 CPC). Sous réserve des exceptions visées à l'art. 67 al. 3 CPC, voire d'une ratification ultérieure par le représentant légal, les actes procéduraux que le plaideur n'ayant pas l'exercice des droits civils accomplit sans son représentant légal sont dépourvus d'effet (cf. art. 18 CC; JEANDIN, op. cit., n. 12 ad art. 67 CPC). La capacité d'exercer les droits civils fait en effet défaut à celui qui est incapable de discernement même s'il n'a pas été placé sous curatelle de portée générale (ATF 77 II 7 consid. 2). Placé devant un cas relevant de l'irrecevabilité, on peut imaginer que le tribunal commence par impartir un délai au représentant légal pour ratifier les actes de l'incapable d'ester en justice (ATF 112 II 102, c. 2), voire encore intervienne directement auprès de l'autorité compétente pour qu'elle en désigne un, charge à ce dernier de ratifier cas échéant (JEANDIN, op. cit., n. 17 ad art. 67 CPC; HOHL, Procédure civile, vol. I n. 426).</w:t>
      </w:r>
    </w:p>
    <w:p>
      <w:r>
        <w:rPr>
          <w:b/>
        </w:rPr>
        <w:t>E. 4.1.3</w:t>
      </w:r>
    </w:p>
    <w:p>
      <w:r>
        <w:t>A teneur de l'art. 19a al. 1 CC, sous réserve de dispositions légales contraires, le représentant légal peut consentir expressément ou tacitement à l'acte par avance ou le ratifier. L'autre partie est libérée si la ratification n'a pas lieu dans un délai convenable, qu'elle a fixé ou fait fixer par le juge (art. 19a al. 2 CC).</w:t>
      </w:r>
    </w:p>
    <w:p>
      <w:r>
        <w:rPr>
          <w:b/>
        </w:rPr>
        <w:t>E. 4.2</w:t>
      </w:r>
    </w:p>
    <w:p>
      <w:r>
        <w:t>Selon l'art. 14 de la Loi sur le notariat (LNot – RS GE E 6 05), le nom, l'état, la demeure et la capacité civile des parties doivent être connus du notaire ou lui être attestés dans l'acte par deux témoins majeurs, ayant l'exercice de leurs droits civils et domiciliés en Suisse.</w:t>
      </w:r>
    </w:p>
    <w:p>
      <w:r>
        <w:t>- 10/12 -</w:t>
      </w:r>
    </w:p>
    <w:p>
      <w:r>
        <w:t>C/6422/2020</w:t>
      </w:r>
    </w:p>
    <w:p>
      <w:r>
        <w:rPr>
          <w:b/>
        </w:rPr>
        <w:t>E. 4.3</w:t>
      </w:r>
    </w:p>
    <w:p>
      <w:r>
        <w:t>Toute partie a droit à ce que le tribunal administre les moyens de preuve adéquats proposés régulièrement et en temps utile (art. 152 al. 1 CPC).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p. 226), ni n'exclut l'appréciation anticipée des preuves (ATF 138 III 374 consid. 4.3.1 p. 376 et les arrêts cités; arrêt du Tribunal fédéral 4D_3/2020 du 28 août 2020 consid. 4.1).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 l'interrogatoire des parties et l'audition de témoins viole en effet le droit constitutionnel des parties à l'examen de leurs réquisitions et à une motivation (art. 29 al. 2 Cst.; ATF 114 II 289 consid. 2b, JdT 1989 I 84; arrêt du Tribunal fédéral 5A_304/2014 du 13 octobre 2014 consid. 3.3 ss).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w:t>
      </w:r>
    </w:p>
    <w:p>
      <w:r>
        <w:rPr>
          <w:b/>
        </w:rPr>
        <w:t>E. 4.4</w:t>
      </w:r>
    </w:p>
    <w:p>
      <w:r>
        <w:t>Dans le présent cas, l'appelante soutient avoir établi l'incapacité de discernement de l'intimé lors de l'introduction de l'acte au Tribunal le 1er octobre</w:t>
      </w:r>
    </w:p>
    <w:p>
      <w:r>
        <w:t>- 11/12 -</w:t>
      </w:r>
    </w:p>
    <w:p>
      <w:r>
        <w:t>C/6422/2020 2020. Ce dernier était en effet incapable de discernement depuis le 11 décembre 2020 et il était vraisemblable que tel était déjà le cas au mois d'octobre 2020, dès lors qu'une incapacité de discernement ne survient pas "du jour au lendemain". Le précité avait par ailleurs été signalé au TPAE le 16 juillet 2020 et il était vraisemblable que son incapacité de discernement ait été antérieure à cette date. Le TPAE a retenu, dans son ordonnance du 25 mars 2021, que dite incapacité ressortait du certificat médical du Centre de la mémoire du 11 décembre 2020, sans toutefois considérer que cette incapacité aurait débuté antérieurement. Lors du signalement du 16 juillet 2020, et malgré la production d'un document intitulé "Consultation mémoire" du 4 juin 2020, le TPAE ne disposait manifestement pas des éléments nécessaires pour forger sa conviction, dès lors qu'il a ordonné l'établissement du certificat médical précité, le 1er octobre 2020. Le refus du Tribunal d'ordonner la production des titres précités, en ce qu'ils ne sont pas propres à établir le fait allégué, n'est par conséquent pas critiquable et ni le droit à la preuve, ni le droit d'être entendu de l'appelante n'ont été violés. Il sera pour le surplus souligné que l'intimé a été tenu pour capable de discernement lors de l'établissement du mandat pour cause d'inaptitude le 14 mai 2019, le notaire devant d'office examiner cette question avant la signature d'un acte notarié. De plus, l'intimé a signé une procuration, le 18 mars 2020 en faveur de son assurance de protection juridique, laquelle a continué le mandat ainsi confié en introduisant au Tribunal les demandes déclarées non conciliées. Rien ne permet de retenir que l'intimé n'était pas capable de discernement en mars 2020, le signalement datant de juillet 2020, soit quatre mois plus tard.</w:t>
      </w:r>
    </w:p>
    <w:p>
      <w:r>
        <w:rPr>
          <w:b/>
        </w:rPr>
        <w:t>E. 4.5</w:t>
      </w:r>
    </w:p>
    <w:p>
      <w:r>
        <w:t>C'est par conséquent à bon droit que le Tribunal a considéré que l'appelante avait échoué à établir l'incapacité de discernement de l'intimé et que, partant les demandes étaient recevables. Le jugement entrepris sera ainsi confirmé.</w:t>
      </w:r>
    </w:p>
    <w:p>
      <w:r>
        <w:rPr>
          <w:b/>
        </w:rPr>
        <w:t>E. 5</w:t>
      </w:r>
    </w:p>
    <w:p>
      <w:r>
        <w:t>A teneur de l'art. 22 al. 1 LaCC, il n'est pas prélevé de frais dans les causes soumises à la juridiction des baux et loyers (ATF 139 III 182 consid. 2.6). * * * * *</w:t>
      </w:r>
    </w:p>
    <w:p>
      <w:r>
        <w:t>- 12/12 -</w:t>
      </w:r>
    </w:p>
    <w:p>
      <w:r>
        <w:t>C/6422/2020 PAR CES MOTIFS, La Chambre des baux et loyers : A la forme : Déclare recevable l'appel interjeté le 24 février 2022 par A______ SOCIETE COOPERATIVE contre le jugement JTBL/36/2022 rendu le 21 janvier 2022 par le Tribunal des baux et loyers dans la cause C/6422/2020-6-OSB.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