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ACJC/97/2026 vom 21. Januar 2026</w:t>
      </w:r>
    </w:p>
    <w:p>
      <w:r>
        <w:t>GE Cour de justice, 2026-01-21, FR</w:t>
      </w:r>
    </w:p>
    <w:p>
      <w:r>
        <w:rPr>
          <w:b/>
        </w:rPr>
        <w:t xml:space="preserve">Quelle: </w:t>
      </w:r>
      <w:r>
        <w:t>https://mcp.opencaselaw.ch/entscheid/ge_gerichte_ACJC_97_2026</w:t>
      </w:r>
    </w:p>
    <w:p>
      <w:r>
        <w:t>FR: GE_GERICHTE ACJC/97/2026 du 21 janvier 2026</w:t>
      </w:r>
    </w:p>
    <w:p>
      <w:r>
        <w:t>IT: GE_GERICHTE ACJC/97/2026 del 21 gennaio 2026</w:t>
      </w:r>
    </w:p>
    <w:p>
      <w:pPr>
        <w:pStyle w:val="Heading2"/>
      </w:pPr>
      <w:r>
        <w:t>Erwägungen</w:t>
      </w:r>
    </w:p>
    <w:p>
      <w:r>
        <w:rPr>
          <w:b/>
        </w:rPr>
        <w:t>E. 1</w:t>
      </w:r>
    </w:p>
    <w:p>
      <w:r>
        <w:t>La décision attaquée peut faire l’objet d'un recours au sens de l'art. 319 let. b CPC, à la condition qu'elle soit susceptible de causer un préjudice difficilement réparable. La compétence de la juridiction civile ordinaire pour statuer sur une requête en interdiction de postuler de l'avocat n'est à raison pas remise en cause (ATF 147 III 351 consid. 6.3). Introduit dans le délai et la forme prescrits par la loi (art. 130, 131, 142 al. 1, 143 al. 1 et 321 CPC), le recours est recevable de ces points de vue.</w:t>
      </w:r>
    </w:p>
    <w:p>
      <w:r>
        <w:rPr>
          <w:b/>
        </w:rPr>
        <w:t>E. 2</w:t>
      </w:r>
    </w:p>
    <w:p>
      <w:r>
        <w:t>Il faut cependant examiner l'existence d'un préjudice difficilement réparable.</w:t>
      </w:r>
    </w:p>
    <w:p>
      <w:r>
        <w:rPr>
          <w:b/>
        </w:rPr>
        <w:t>E. 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ACJC/584/2024 du 6 mai 2024 consid. 1.1.2.1; ACJC/1609/2023 du 5 décembre 2023 consid. 2.1; ACJC/1458/2022 du 3 novembre 2022 consid. 2.1; JEANDIN, CR-CPC,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(ACJC/584/2024 du 6 mai 2024 consid. 1.1.2.1; JEANDIN, op. cit., n. 22a ad art. 319 CPC). Il appartient au recourant d'alléguer et d'établir la possibilité que la décision attaquée lui cause un préjudice difficilement réparable, à moins que cela ne fasse</w:t>
      </w:r>
    </w:p>
    <w:p>
      <w:r>
        <w:t>- 5/11 -</w:t>
      </w:r>
    </w:p>
    <w:p>
      <w:r>
        <w:t>C/30621/2024 d'emblée aucun doute (par analogie : ATF 142 III 798 consid. 2.2; 133 III 629 consid. 2.3.1), étant relevé qu'une simple prolongation de la procédure ou un accroissement des frais ne suffisent pas (JEANDIN, op. cit., n. 22a ad art. 319 CPC). Si la condition du préjudice difficilement réparable n'est pas remplie, le recours est irrecevable et la partie doit attaquer la décision incidente avec la décision finale sur le fond (ACJC/1609/2023 précité consid. 2.1; ACJC/580/2017 du 19 mai 2017 consid. 1.2; Message du Conseil fédéral relatif au CPC, FF 2006 6841, p. 6984; BRUNNER, Schweizerische Zivilprozessordnung, n. 13 ad art. 319 CPC).</w:t>
      </w:r>
    </w:p>
    <w:p>
      <w:r>
        <w:rPr>
          <w:b/>
        </w:rPr>
        <w:t>E. 2.2</w:t>
      </w:r>
    </w:p>
    <w:p>
      <w:r>
        <w:t>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Une telle règle générale ne saurait prévaloir dans l'hypothèse inverse, soit lorsque la décision incidente rejette l'exception tirée de l'incapacité de postuler et autorise l'avocat d'une partie à poursuivre la représentation. Le Tribunal fédéral considère bien plutôt qu'en principe, pour la partie adverse, les inconvénients résultant d'une pareille décision sont purement matériels et dépourvus de caractère juridique, de sorte qu'elle n'est pas susceptible de lui causer un préjudice irréparable (arrêts du Tribunal fédéral 5A_233/2024 du 14 juin 2024 consid. 4.1, 5A_181/2023 du 24 avril 2023 consid. 3.1; 5A_311/2022 du 9 novembre 2022 consid. 2.2.2 et les arrêts cités, 4A_25/2022 du 11 février 2022 consid. 4.2 et les réf. cit.). Seules des circonstances exceptionnelles peuvent justifier de déroger à ce principe (arrêt du Tribunal fédéral 4A_313/2020 du 1er octobre 2020 consid. 4).</w:t>
      </w:r>
    </w:p>
    <w:p>
      <w:r>
        <w:rPr>
          <w:b/>
        </w:rPr>
        <w:t>E. 2.3</w:t>
      </w:r>
    </w:p>
    <w:p>
      <w:r>
        <w:t>En l’espèce, la recourante ne présente pas d'éléments clairs en lien avec un éventuel préjudice difficilement réparable. On comprend certes qu'elle souhaite que C______, désormais avocate dans l'Etude D______, ne représente pas sa partie adverse dans un litige de droit du travail, en raison d'une problématique de protection de l'adulte. Or, cette procédure de protection de l'adulte vise la mère de la recourante. Si on peut comprendre que la recourante soit attachée à une procédure conforme au droit concernant la situation de sa mère, cela ne signifie pas encore que la procédure de droit du travail soit impactée, et encore moins qu'elle cause un préjudice difficilement réparable. La recourante ne rend pas vraisemblable que sa situation procédurale devant le Tribunal des prud'hommes d'ancienne travailleuse de B______ SA serait impactée par une procédure de protection de l'adulte concernant sa mère. L'ancien traitement médical de sa mère – au sujet duquel K______, nouvelle associée de C______, aurait éventuellement pu avoir une influence – n'a pas de relation crédible avec les anciens rapports de travail de A______ et de B______ SA.</w:t>
      </w:r>
    </w:p>
    <w:p>
      <w:r>
        <w:t>- 6/11 -</w:t>
      </w:r>
    </w:p>
    <w:p>
      <w:r>
        <w:t>C/30621/2024 L'existence d'une procédure devant la Chambre de surveillance de la Cour de justice au sujet de la mère de A______ n'est pas liée à la procédure prud'homale concernant A______ elle-même et son ancien employeur. La décision du Tribunal des prud'hommes ne crée pas de préjudice difficilement réparable. Au demeurant, à supposer que les craintes de A______ sur une proximité entre B______ SA, C______ et K______ soient réalisées, il faudrait encore constater que A______ est opposée à B______ SA devant les juridictions de droit du travail et que A______ (et/ou sa mère) est opposée à K______ devant les juridictions de protection de l'adulte: ce seraient cas échéant deux procédures parallèles, où A______ est opposée à d'autres personnes. La situation factuelle (mais sans préjuger des conséquences juridiques) aurait été différente si C______ ou K______ avaient été (mais tel n'est pas le cas ici) l'avocate de A______. Autrement dit, il n'y a pas de changement d'orientation dans la défense des intérêts de A______. Il n'y a aucune limitation de la défense de ses intérêts. Pour toutes ces raisons, il n'y a pas de préjudice difficilement réparable, de sorte que le recours est irrecevable.</w:t>
      </w:r>
    </w:p>
    <w:p>
      <w:r>
        <w:rPr>
          <w:b/>
        </w:rPr>
        <w:t>E. 3</w:t>
      </w:r>
    </w:p>
    <w:p>
      <w:r>
        <w:t>A titre subsidiaire, même s'il avait été déclaré recevable en raison d'un préjudice difficilement réparable, le recours aurait dû être rejeté. La recourante se plaint de la violation de l’art. 12 let. c LLCA et d’une situation de conflit d’intérêts de l’avocate de l’intimée.</w:t>
      </w:r>
    </w:p>
    <w:p>
      <w:r>
        <w:rPr>
          <w:b/>
        </w:rPr>
        <w:t>E. 3.1</w:t>
      </w:r>
    </w:p>
    <w:p>
      <w:r>
        <w:t>Selon le Tribunal, K______, avocate associée de D______ était intervenue dans une affaire dont la mère de A______ avait fait l’objet par-devant le TPAE et qui s’était achevée en 2024. Il n’existait en l’état pas de conflit d’intérêts qui justifierait d’interdire à C______ de postuler en faveur de B______ SA du seul fait qu’elle a rejoint l’étude D______ à partir du 1er septembre 2025.</w:t>
      </w:r>
    </w:p>
    <w:p>
      <w:r>
        <w:rPr>
          <w:b/>
        </w:rPr>
        <w:t>E. 3.2</w:t>
      </w:r>
    </w:p>
    <w:p>
      <w:r>
        <w:t>Selon la recourante, un avocat doit éviter tout conflit d’intérêts selon l’art. 12 let. c LLCA et doit être indépendant selon l’art. 12 let. a LLCA. Elle se réfère à l’absence de qualité de partie de K______ devant le TPAE; elle explique que la procédure de protection de l’adulte n’est pas close, dès lors qu’il y a un recours pendant devant la Chambre civile (recte : Chambre de surveillance) de la Cour de justice et que le rapport de la curatrice K______ est contesté. Selon la recourante, le problème est la représentation de B______ SA par un avocat de l’étude D______. Chez B______, "on était au courant d’informations concernant ce qui était arrivé à [sa] mère", alors qu’elle n’en avait parlé à personne. Enfin, il y avait un homme qui la harcelait depuis trop longtemps, avec beaucoup trop de complices et qu’elle soupçonnait d’avoir tout entrepris pour qu’elle perde son travail et d’être lié à ce qui était arrivé à sa mère. Au surplus, les griefs de la recourante seront repris ci-dessous.</w:t>
      </w:r>
    </w:p>
    <w:p>
      <w:r>
        <w:t>- 7/11 -</w:t>
      </w:r>
    </w:p>
    <w:p>
      <w:r>
        <w:t>C/30621/2024</w:t>
      </w:r>
    </w:p>
    <w:p>
      <w:r>
        <w:rPr>
          <w:b/>
        </w:rPr>
        <w:t>E. 3.3</w:t>
      </w:r>
    </w:p>
    <w:p>
      <w:r>
        <w:t>Selon l’intimée, le mandat de curatrice de K______ pour la mère de A______, terminé à la fin de l’année 2024, ne crée pas de conflit d’intérêts avec le mandat de C______ en faveur de B______ SA. En outre, A______ n’était pas partie à la procédure devant le TPAE, ce que A______ avait elle-même admis.</w:t>
      </w:r>
    </w:p>
    <w:p>
      <w:r>
        <w:rPr>
          <w:b/>
        </w:rPr>
        <w:t>E. 3.4</w:t>
      </w:r>
    </w:p>
    <w:p>
      <w:r>
        <w:t>La capacité de postuler fait partie des questions de recevabilité au sens de l’art. 59 CPC (ATF 147 III 351 consid. 6.2.1). Cette question est examinée d’office (art. 60 CPC).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 cit.; arrêt du Tribunal fédéral 5A_27/2023 du 21 mai 2023 consid. 3.2). Il faut éviter toute situation susceptible d'entraîner un tel conflit d'intérêts. Toutefois, un risque purement abstrait ou théorique ne suffit pas, le risque devant être concret.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 cit.; arrêt du Tribunal fédéral 2C_101/2023 du 11 mai 2023 consid. 7.1).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arrêt du Tribunal fédéral 5A_124/2022 du 26 avril 2022 consid. 4.1.1).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w:t>
      </w:r>
    </w:p>
    <w:p>
      <w:r>
        <w:t>- 8/11 -</w:t>
      </w:r>
    </w:p>
    <w:p>
      <w:r>
        <w:t>C/30621/2024 antérieurement sous couvert du secret professionnel, dans l'exercice d'un mandat antérieur (ATF 145 IV 218 consid. 2.1; arrêt du Tribunal fédéral 2C_898/2018 du 30 janvier 2019 consid. 5.2). 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L'interdiction de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(arrêt du Tribunal fédéral 5A_967/2014 du 27 mars 2015 consid. 3.3.2 et 3.3.3).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 cit.; arrêt du Tribunal fédéral 2C_101/2023 précité consid. 7.1).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 cit.).</w:t>
      </w:r>
    </w:p>
    <w:p>
      <w:r>
        <w:rPr>
          <w:b/>
        </w:rPr>
        <w:t>E. 3.5</w:t>
      </w:r>
    </w:p>
    <w:p>
      <w:r>
        <w:t>En l’espèce, la Cour relève tout d’abord que la recourante a immédiatement fait valoir sa critique vis-à-vis de la constitution de C______, dès que celle-ci a annoncé rejoindre l’étude D______.</w:t>
      </w:r>
    </w:p>
    <w:p>
      <w:r>
        <w:t>- 9/11 -</w:t>
      </w:r>
    </w:p>
    <w:p>
      <w:r>
        <w:t>C/30621/2024 En premier lieu, la recourante ne comprend pas pourquoi l’intimée mentionne que "K______" n’était pas partie à la procédure devant le TPAE. Or, dans le courrier de l’intimée du 25 août 2025, les mots "cette dernière" faisaient référence à A______ et non à K______. Cette interprétation est également cohérente avec la suite du développement, puisque A______ n’était pas partie à la procédure devant le TPAE qui visait sa mère (cf aussi art. 450 al. 2 ch. 1 et 2 CC qui distingue "les personnes parties à la procédure" et "les proches de la personne concernée"). En second lieu, la recourante critique les liens de C______ et de K______ au sein de l’étude D______. La recourante fait valoir que le dossier de protection de l’adulte concernant la mère de A______ n’est pas terminé, en raison d’une procédure en cours devant la Chambre de surveillance de la Cour de justice; l’intimée fait valoir que la procédure dans laquelle intervenait K______ s’est terminée en 2024. Ces deux positions ne sont pas nécessairement irréconciliables : en effet, l’activité de la curatrice K______ peut s’être terminée en 2024, alors même qu’une procédure de recours intentée par A______ peut être pendante en 2025 devant la Chambre de surveillance de la Cour de justice. Quoi qu’il en soit, il y a lieu de retenir qu’il y a une proximité temporelle entre les deux procédures (prud’homale et protection de l’adulte). Cela étant, les parties ne sont pas identiques : A______ est opposée à B______ SA en procédure de droit du travail, alors qu’une procédure de protection de l’adulte concerne la mère de A______, K______ ayant été curatrice dans cette procédure. Formellement, il est important de distinguer A______ d'une part, et sa mère d'autre part : la qualité (légale) pour recourir accordée par l'art. 450 al. 2 ch. 2 CC à A______ ne la substitue pas à sa mère, qui reste une personne indépendante et distincte. Etant donné la position de l’avocate de l’intimée, il faut partir de l'idée que K______ ne participe pas / plus elle-même à la procédure devant la Chambre de surveillance de la Cour de justice, même si son rapport et/ou ses activités antérieures font peut- être l’objet d’un examen. Selon la jurisprudence citée ci-dessus, il faut partir de l’idée qu’il pourrait y avoir un risque – même théorique – que K______ transmette des informations à C______ concernant la mère de A______. Cela étant, comme déjà mentionné ci-dessus en lien avec l'absence de préjudice difficilement réparable, ni C______, ni K______ n'ont été les avocates de A______. De plus, dès lors que A______ est la demanderesse dans une procédure prud’homale contre B______ SA (et que les rapports de travail ont pris fin), on peine à voir quelle utilité une éventuelle information liée à la mère de A______ pourrait avoir dans une telle procédure. Autrement dit, l’utilisation en procédure par la défenderesse B______ SA d’éventuelles informations sur la mère de son</w:t>
      </w:r>
    </w:p>
    <w:p>
      <w:r>
        <w:t>- 10/11 -</w:t>
      </w:r>
    </w:p>
    <w:p>
      <w:r>
        <w:t>C/30621/2024 ancienne collaboratrice paraît, en l’état du dossier, peu probable. La possibilité théorique évoquée par la jurisprudence d’utiliser dans un nouveau mandat les connaissances acquises antérieurement n'est pas non plus réalisée. Il n'y a donc pas de conflit d’intérêts au sens de l’art. 12 lettre c LLCA. Le recours sera par conséquent déclaré irrecevable et, subsidiairement, rejeté.</w:t>
      </w:r>
    </w:p>
    <w:p>
      <w:r>
        <w:rPr>
          <w:b/>
        </w:rPr>
        <w:t>E. 4</w:t>
      </w:r>
    </w:p>
    <w:p>
      <w:r>
        <w:t>La valeur litigieuse étant (en l’état) inférieure à 50'000 fr., aucun frais judiciaire ne sera prélevé (art. 19 al. 3 let. c LaCC et art. 71 RTFMC). Aucun dépens n’est alloué s’agissant d’un litige de droit du travail (art. 22 al. 2 LaCC). * * * * *</w:t>
      </w:r>
    </w:p>
    <w:p>
      <w:r>
        <w:t>- 11/11 -</w:t>
      </w:r>
    </w:p>
    <w:p>
      <w:r>
        <w:t>C/30621/2024</w:t>
      </w:r>
    </w:p>
    <w:p>
      <w:r>
        <w:t>PAR CES MOTIFS, La Chambre des prud'hommes :</w:t>
      </w:r>
    </w:p>
    <w:p>
      <w:r>
        <w:t>Déclare irrecevable le recours interjeté par A______ contre l’ordonnance OTPH/1535/2025 rendue le 5 septembre 2025 par le Tribunal des prud’hommes dans la cause C/30621/2024. Dit qu'il n'est pas perçu de frais judiciaires, ni alloué de dépens de recours. Déboute les parties de toutes autres conclusions. Siégeant : Monsieur David HOFMANN, président;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