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ACJC/979/2025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https://mcp.opencaselaw.ch/entscheid/ge_gerichte_ACJC_979_2025</w:t>
      </w:r>
    </w:p>
    <w:p>
      <w:r>
        <w:t>FR: GE_GERICHTE ACJC/979/2025 du 17 juillet 2025</w:t>
      </w:r>
    </w:p>
    <w:p>
      <w:r>
        <w:t>IT: GE_GERICHTE ACJC/979/2025 del 17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juillet 2025.</w:t>
      </w:r>
    </w:p>
    <w:p>
      <w:r>
        <w:t>République et canton de Genève POUVOIR JUDICIAIRE Cour de justice civile Chambre civile</w:t>
      </w:r>
    </w:p>
    <w:p>
      <w:r>
        <w:t>Recourante : Intimé : A______ SÀRL c/o B______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C/12108/2025 ACJC/979/2025 DU MERCREDI 16 JUILLET 2025 Vu le jugement JTPI/8489/2025 du 3 juillet 2025 prononçant la faillite de A______ SÀRL (ch. 1 du dispositif); Vu le recours contre ledit jugement formé le 16 juillet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JTPI/8489/2025 rendu par le Tribunal de première instance le 3 juillet 2025 dans la cause C/12108/2025-10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Ursula ZEHETBAUER GHAVAMI, Madame Stéphanie MUSY,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