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ACJC/975/2024 vom 8. August 2024</w:t>
      </w:r>
    </w:p>
    <w:p>
      <w:r>
        <w:t>GE Cour de justice, 2024-08-08, FR</w:t>
      </w:r>
    </w:p>
    <w:p>
      <w:r>
        <w:rPr>
          <w:b/>
        </w:rPr>
        <w:t xml:space="preserve">Quelle: </w:t>
      </w:r>
      <w:r>
        <w:t>https://mcp.opencaselaw.ch/entscheid/ge_gerichte_ACJC_975_2024</w:t>
      </w:r>
    </w:p>
    <w:p>
      <w:r>
        <w:t>FR: GE_GERICHTE ACJC/975/2024 du 8 août 2024</w:t>
      </w:r>
    </w:p>
    <w:p>
      <w:r>
        <w:t>IT: GE_GERICHTE ACJC/975/2024 del 8 agosto 2024</w:t>
      </w:r>
    </w:p>
    <w:p>
      <w:pPr>
        <w:pStyle w:val="Heading2"/>
      </w:pPr>
      <w:r>
        <w:t>Volltext</w:t>
      </w:r>
    </w:p>
    <w:p>
      <w:r>
        <w:t>Le présent arrêt est communiqué aux parties, par plis recommandés du 8 août 2024.</w:t>
      </w:r>
    </w:p>
    <w:p>
      <w:r>
        <w:t>REPUBLIQUE ET</w:t>
      </w:r>
    </w:p>
    <w:p>
      <w:r>
        <w:t>CANTON DE GENEVE POUVOIR JUDICIAIRE C/20908/2023 ACJC/975/2024 ARRÊT DE LA COUR DE JUSTICE Chambre civile DU MERCEDI 31 JUILLET 2024</w:t>
      </w:r>
    </w:p>
    <w:p>
      <w:r>
        <w:t>Entre A______ LIMITED, sise ______, Hong Kong, demanderesse, représentée par Me Thomas WEHRLI, avocat, PACHMANN AG, Dreikönigstrasse 8, 8002 Zurich, et B______ LIMITED, sise ______, Grande-Bretagne, défenderesse, représentée par Me Ralph SCHLOSSER, avocat, avenue de la Gare 5, case postale 251, 1001 Lausanne.</w:t>
      </w:r>
    </w:p>
    <w:p>
      <w:r>
        <w:t>- 2/3 -</w:t>
      </w:r>
    </w:p>
    <w:p>
      <w:r>
        <w:t>C/20908/2023 Vu, EN FAIT, la demande formée le 11 octobre 2023 par A______ LTD à l'encontre de B______ LTD, tendant à la constatation de la nullité de l'enregistrement d'une marque et à sa radiation du registre suisse des marques; Vu la suspension de la procédure ordonnée en dernier lieu jusqu'au 31 juillet 2024; Vu la requête de B______ LTD du 31 juillet 2024, contresignée par A______ LTD, sollicitant l'extension de la suspension de la procédure jusqu'au 30 septembre 2024 en raison des négociations en cours; Considérant, EN DROIT, que selon l'art. 126 CPC, le tribunal peut ordonner la suspension de la procédure si des motifs d'opportunité le commandent; Que tel est le cas en l'espèce, au vu de la poursuite des pourparlers entre les parties, de sorte qu'il se justifie de prolonger la suspension de la procédure comme le requièrent les parties. * * * * *</w:t>
      </w:r>
    </w:p>
    <w:p>
      <w:r>
        <w:t>- 3/3 -</w:t>
      </w:r>
    </w:p>
    <w:p>
      <w:r>
        <w:t>C/20908/2023 PAR CES MOTIFS, La Chambre civile : Statuant sur suspension de la procédure : Dit que la procédure est suspendue jusqu'au 30 septembre 2024. Siégeant : Madame Sylvie DROIN, présidente ad interim; Madame Fabienne GEISINGER- MARIETHOZ,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