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ACJC/974/2024 vom 30. Juli 2024</w:t>
      </w:r>
    </w:p>
    <w:p>
      <w:r>
        <w:t>GE Cour de justice, 2024-07-30, FR</w:t>
      </w:r>
    </w:p>
    <w:p>
      <w:r>
        <w:rPr>
          <w:b/>
        </w:rPr>
        <w:t xml:space="preserve">Quelle: </w:t>
      </w:r>
      <w:r>
        <w:t>https://mcp.opencaselaw.ch/entscheid/ge_gerichte_ACJC_974_2024</w:t>
      </w:r>
    </w:p>
    <w:p>
      <w:r>
        <w:t>FR: GE_GERICHTE ACJC/974/2024 du 30 juillet 2024</w:t>
      </w:r>
    </w:p>
    <w:p>
      <w:r>
        <w:t>IT: GE_GERICHTE ACJC/974/2024 del 30 luglio 2024</w:t>
      </w:r>
    </w:p>
    <w:p>
      <w:pPr>
        <w:pStyle w:val="Heading2"/>
      </w:pPr>
      <w:r>
        <w:t>Erwägungen</w:t>
      </w:r>
    </w:p>
    <w:p>
      <w:r>
        <w:rPr>
          <w:b/>
        </w:rPr>
        <w:t>E. 1</w:t>
      </w:r>
    </w:p>
    <w:p>
      <w:r>
        <w:t>1.1 En tant qu'elle porte sur un refus de suspension, l'ordonnance entreprise du 18 janvier 2024 entre dans la catégorie des ordonnances d'instruction (ATF 141 III 270 consid. 3; arrêt du Tribunal fédéral 5A_453/2021 du 26 juillet 2021 consid. 2) pouvant faire l'objet du recours au sens des art. 319 ss CPC. A la différence d'une décision d'admission de suspension, le refus de la suspension ne peut faire l'objet que du recours de l'art. 319 let. b ch. 2 CPC, le recourant devant démontrer le préjudice difficilement réparable résultant du refus de suspendre (arrêts du Tribunal fédéral 5A_313/2022 du 15 août 2022 consid. 1.2; 5D_182/2015 du 2 février 2016 consid. 1.3 et la doctrine citée). Le recours, écrit et motivé, doit être introduit dans les dix jours à compter de la notification de la décision motivée (art. 321 al. 2 CPC).</w:t>
      </w:r>
    </w:p>
    <w:p>
      <w:r>
        <w:rPr>
          <w:b/>
        </w:rPr>
        <w:t>E. 1.2</w:t>
      </w:r>
    </w:p>
    <w:p>
      <w:r>
        <w:t>Interjeté en temps utile et dans la forme prévue par la loi, le recours est recevable sous cet angle.</w:t>
      </w:r>
    </w:p>
    <w:p>
      <w:r>
        <w:rPr>
          <w:b/>
        </w:rPr>
        <w:t>E. 1.3</w:t>
      </w:r>
    </w:p>
    <w:p>
      <w:r>
        <w:t>Reste à déterminer si l'ordonnance querellée est susceptible de causer un préjudice difficilement réparable à la recourante au sens de l'art. 319 let. b ch. 2 CPC.</w:t>
      </w:r>
    </w:p>
    <w:p>
      <w:r>
        <w:t>- 5/8 -</w:t>
      </w:r>
    </w:p>
    <w:p>
      <w:r>
        <w:t>C/5643/2023 La recourante fait valoir qu'à défaut de suspension, elle serait exposée, lors de l'instruction de la présente cause, à déposer en violation des droits fondamentaux (ne pas avoir le fardeau de la preuve de son innocence, droit de refuser de déposer et de collaborer) dont elle dispose dans le cadre de la procédure pénale pendante.</w:t>
      </w:r>
    </w:p>
    <w:p>
      <w:r>
        <w:rPr>
          <w:b/>
        </w:rPr>
        <w:t>E. 1.3.1</w:t>
      </w:r>
    </w:p>
    <w:p>
      <w:r>
        <w:t>La notion de "préjudice difficilement réparable" est plus large que celle de "préjudice irréparable" au sens de l'article 93 alinéa 1 lettre a LTF (ATF 138 III 378 consid. 6.3; 137 III 380 consid. 2 in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contre toute décision ou ordonnance d'instruction, ce que le législateur a clairement exclu : il s'agit de se prémunir contre le risque d'un prolongement sans fin du procès (ATF 138 III 378 consid. 6.3 et 137 III 380 consid. 2; JEANDIN, in Commentaire romand, Code de procédure civile, 2ème éd., 2019, n. 22 ad art. 219 CPC). Le préjudice sera considéré comme difficilement réparable s'il ne peut pas être supprimé, ou seulement partiellement, même dans l'hypothèse d'une décision finale favorable au recourant (REICH, Schweizerische Zivilprozessordnung [ZPO], Baker/Mackenzie [éd.], 2010, n. 8 ad. art. 319 CPC). Une simple prolongation de la procédure ou un accroissement des frais de celle-ci ne constitue pas un préjudice difficilement réparable (SPUHLER, in Basler Kommentar, Schweizerische Zivilprozessordnung, 3ème éd., 2017, n. 7 ad. art. 319 CPC; HOFFMANN-NOWOTNY, ZPO-Rechtsmittel, Berufung und Beschwerde, 2013, n. 25 ad art. 319 CPC). Il appartient au recourant d'alléguer et d'établir la possibilité que la décision attaquée lui cause un préjudice difficilement réparable, à moins que cela ne fasse d'emblée aucun doute (par analogie ATF 134 III 426 consid. 1.2 et 133 III 629 consid. 2.3.1).</w:t>
      </w:r>
    </w:p>
    <w:p>
      <w:r>
        <w:rPr>
          <w:b/>
        </w:rPr>
        <w:t>E. 1.3.2</w:t>
      </w:r>
    </w:p>
    <w:p>
      <w:r>
        <w:t>Selon l'art. 126 al. 1 CPC, le tribunal peut ordonner la suspension de la procédure si des motifs d'opportunité le commandent; la procédure peut notamment être suspendue lorsque la décision dépend du sort d'un autre procès.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w:t>
      </w:r>
    </w:p>
    <w:p>
      <w:r>
        <w:t>- 6/8 -</w:t>
      </w:r>
    </w:p>
    <w:p>
      <w:r>
        <w:t>C/5643/2023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Comme le juge civil n'est pas lié par le jugement pénal (art. 53 CO), l'existence d'une procédure pénale ne justifiera qu'exceptionnellement la suspension de la procédure civile. Une suspension peut se justifier si la procédure pénale est importante pour l'appréciation des preuves, par exemple parce qu'il s'agit de savoir si de faux témoignages ont été faits ou de faux documents présentés dans le cadre du procès civil (GSCHWEND/BORNATICO, Basler Kommentar, Schweizerische Zivilprozessordnung, 2017, n. 13 ad art. 126 CPC; WEBER, in Kurzkommentar ZPO, 2014, n. 7 ad art. 126 CPC; FREI, Berner Kommentar, ZPO, 2012, n. 1 et 4 ad art. 126 CPC).</w:t>
      </w:r>
    </w:p>
    <w:p>
      <w:r>
        <w:rPr>
          <w:b/>
        </w:rPr>
        <w:t>E. 1.3.3</w:t>
      </w:r>
    </w:p>
    <w:p>
      <w:r>
        <w:t>En l'espèce, il est acquis que les droits procéduraux des parties ne sont pas identiques dans le cadre des procédures pénale et civile. Cela étant, il n'apparaît pas que les garanties fondamentales accordées au pénal, dont la recourante se prévaut pour fonder son préjudice difficilement réparable supposé, seraient atteintes en elles-mêmes de par les arguments de défense que la partie précitée décidera de soumettre au Tribunal dans la présente procédure civile. Il reviendra en effet à la recourante d'apprécier et de supporter les conséquences de ses positions procédurales, en particulier son choix de se taire devant les autorités pénales, ce qui est son droit, comme celui de, cas échéant, ne pas faire usage du droit de répondre à la demande en paiement de l'intimée.</w:t>
      </w:r>
    </w:p>
    <w:p>
      <w:r>
        <w:t>Pour le surplus, l'état de fait générateur de la demande en paiement déposée par l'intimée est certes le même que celui qui est examiné dans la procédure pénale en cours. Il n'est toutefois pas prétendu que l'instruction des faits serait d'une nature telle que seules des investigations conduites par le juge pénal s'imposeraient, exposant ainsi la recourante à un préjudice difficilement réparable; rien ne conduit à considérer que tel serait le cas. Il n'existe pas non plus de risque de décisions contradictoires, en dépit de l'identité des faits, puisque les questions de droit et de preuves ne sont pas identiques dans les deux causes pendantes simultanément.</w:t>
      </w:r>
    </w:p>
    <w:p>
      <w:r>
        <w:t>Il s'ensuit que la condition du préjudice difficilement réparable n'est pas réalisée. Le recours est donc irrecevable.</w:t>
      </w:r>
    </w:p>
    <w:p>
      <w:r>
        <w:t>- 7/8 -</w:t>
      </w:r>
    </w:p>
    <w:p>
      <w:r>
        <w:t>C/5643/2023</w:t>
      </w:r>
    </w:p>
    <w:p>
      <w:r>
        <w:rPr>
          <w:b/>
        </w:rPr>
        <w:t>E. 2</w:t>
      </w:r>
    </w:p>
    <w:p>
      <w:r>
        <w:t>La recourante, qui succombe, supportera les frais du recours (art. 106 al. 1 CPC), arrêtés à 600 fr. (art. 41 RTFMC), comprenant la décision rendue sur effet suspensif.</w:t>
      </w:r>
    </w:p>
    <w:p>
      <w:r>
        <w:t>Elle versera en outre à l'intimée B______ SA, en liquidation, 600 fr. à titre de dépens de recours (art. 84, 85, 90 RTFMC). Vu leur position procédurale, les autres intimées, qui sans avoir elles-mêmes formé recours ont appuyé celui de la recourante, ne supporteront pas de frais ni ne percevront de dépens.</w:t>
      </w:r>
    </w:p>
    <w:p>
      <w:r>
        <w:t>* * * * *</w:t>
      </w:r>
    </w:p>
    <w:p>
      <w:r>
        <w:t>- 8/8 -</w:t>
      </w:r>
    </w:p>
    <w:p>
      <w:r>
        <w:t>C/5643/2023 PAR CES MOTIFS, La Chambre civile : Déclare irrecevable le recours formé le 1er janvier 2024 par A______ contre l'ordonnance ORTPI/75/2024 rendue le 18 janvier 2024 par le Tribunal de première instance dans la cause C/5643/2023. Arrête les frais judiciaires du recours à 600 fr., compensés avec l'avance effectuée, acquise à l'Etat de Genève. Les met à la charge de A______. Condamne A______ à verser à B______ SA, en liquidation, 600 fr. à titre de dépens de recours.</w:t>
      </w:r>
    </w:p>
    <w:p>
      <w:r>
        <w:t>Siégeant : Monsieur Ivo BUETTI, président; Madame Sylvie DROIN, Monsieur Jean REYMOND,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