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ACJC/974/2017 vom 18. August 2017</w:t>
      </w:r>
    </w:p>
    <w:p>
      <w:r>
        <w:t>GE Cour de justice, 2017-08-18, FR</w:t>
      </w:r>
    </w:p>
    <w:p>
      <w:r>
        <w:rPr>
          <w:b/>
        </w:rPr>
        <w:t xml:space="preserve">Quelle: </w:t>
      </w:r>
      <w:r>
        <w:t>https://mcp.opencaselaw.ch/entscheid/ge_gerichte_ACJC_974_2017</w:t>
      </w:r>
    </w:p>
    <w:p>
      <w:r>
        <w:t>FR: GE_GERICHTE ACJC/974/2017 du 18 août 2017</w:t>
      </w:r>
    </w:p>
    <w:p>
      <w:r>
        <w:t>IT: GE_GERICHTE ACJC/974/2017 del 18 agosto 2017</w:t>
      </w:r>
    </w:p>
    <w:p>
      <w:pPr>
        <w:pStyle w:val="Heading2"/>
      </w:pPr>
      <w:r>
        <w:t>Volltext</w:t>
      </w:r>
    </w:p>
    <w:p>
      <w:r>
        <w:t>Le présent arrêt est communiqué aux parties par plis recommandés du 18 août 2017.</w:t>
      </w:r>
    </w:p>
    <w:p>
      <w:r>
        <w:t>REPUBLIQUE ET</w:t>
      </w:r>
    </w:p>
    <w:p>
      <w:r>
        <w:t>CANTON DE GENEVE POUVOIR JUDICIAIRE C/11093/2017 ACJC/974/2017 ARRÊT DE LA COUR DE JUSTICE Chambre civile DU VENDREDI 11 AOÛT 2017</w:t>
      </w:r>
    </w:p>
    <w:p>
      <w:r>
        <w:t>Entre A______ SA, sise ______ (VS), requérante de mesures provisionnelles et superprovisionnelles du 19 mai 2017, comparant par Me Alexandra Clivaz-Buttler, avocate, 2, rue de la Rôtisserie, case postale 3809, 1211 Genève 3, en l'étude de laquelle elle fait élection de domicile, et B______ SA, sise ______ Genève, citée, comparant par Me Yama Sangin, avocate, 8, rue Rodolphe-Toepffer, 1206 Genève, en l'étude duquel elle fait élection de domicile.</w:t>
      </w:r>
    </w:p>
    <w:p>
      <w:r>
        <w:t>- 2/4 -</w:t>
      </w:r>
    </w:p>
    <w:p>
      <w:r>
        <w:t>C/11093/2017 Vu, EN FAIT, la requête de mesures superprovisionnelles et provisionnelles déposée le 19 mai 2017 par A______ SA contre B______ SA; Vu l'arrêt ACJC/606/2017 rendu par la Cour de justice le 23 mai 2017 rejetant les mesures superprovisionnelles requises et impartissant un délai de réponse à B______ SA; Vu le mémoire de réponse de 36 pages déposé par B______ SA, accompagné d'un bordereau de 22 pièces; Que le litige porte sur la question de savoir si l'ouverture par B______ SA d'un établissement "C______" rue D______ à Genève est de nature à contrevenir aux dispositions sur la protection des marques et la concurrence déloyale; Que par courrier du 21 juin 2017, les parties ont été informées que la cause était gardée à juger; Attendu que le 3 juillet 2017, A______ SA a retiré sa requête, concluant à la restitution, à tout le moins partielle, des frais; Que B______ SA a conclu à ce que les frais et dépens soient mis à la charge de la requérante; qu'elle a annexé sa note de frais faisant état d'honoraires de 8'832 fr. 45, TVA et débours inclus, pour une activité de 17,7 heures au tarif horaire de 450 fr.; Que la détermination de B______ SA et sa note d'honoraires ont été transmises à la requérante et les parties informées par courrier du 17 juillet 2017 de ce que la cause était gardée à juger; Considérant, EN DROIT,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d'action (art. 106 al. 1 CPC); Que lorsqu'une cause est retirée, transigée ou déclarée irrecevable, l'émolument minimal peut être réduit, au maximum, à concurrence des 3/4, mais, en principe, pas en deçà d'un solde de 1'000 fr. (art. 7 al. 1 du Règlement fixant le tarif des frais en matière civile); Qu'en l'espèce, les frais judiciaires, comprenant les frais relatifs à la décision rendue sur mesures superprovisionnelles, seront arrêtés à 1'500 fr. (art. 95 al. 1 let. a, art. 96 CPC, art. 26 du Règlement fixant le tarif des frais en matière civile, RTFMC) et mis à la charge de la requérante, qui succombe (art. 106 al. 1 CPC);</w:t>
      </w:r>
    </w:p>
    <w:p>
      <w:r>
        <w:t>- 3/4 -</w:t>
      </w:r>
    </w:p>
    <w:p>
      <w:r>
        <w:t>C/11093/2017 Qu'ils seront compensés avec l'avance de frais fournie par celle-ci, acquise à l'Etat à due concurrence (art. 111 al. 1 CPC), de sorte qu'un montant de 1'500 fr. lui sera restitué; Que la citée conclut à ce que des dépens lui soient alloués, sans toutefois réclamer le montant figurant dans sa note d'honoraires; Que la rédaction du mémoire-réponse a nécessité d'expliquer les relations entre les différentes sociétés impliquées dans le litige, les droits sur la marque "C______" dont peut se prévaloir la requérante et l'existence d'un comportement déloyal au sens de la Loi sur la concurrence déloyale; Que, toutefois, l'arrêt sur mesures superprovisionnelles expose en détail les relations entre les différentes sociétés impliquées dans le présent litige et examine les droits que la requérante fait valoir; Qu'en outre, la cause est d'une difficulté moyenne ne soulevant pas de questions juridiques complexes; Qu'au vu de ces éléments, il convient de fixer le montant des dépens à 4'000 fr., débours et TVA inclus. * * * * * *</w:t>
      </w:r>
    </w:p>
    <w:p>
      <w:r>
        <w:t>- 4/4 -</w:t>
      </w:r>
    </w:p>
    <w:p>
      <w:r>
        <w:t>C/11093/2017</w:t>
      </w:r>
    </w:p>
    <w:p>
      <w:r>
        <w:t>PAR CES MOTIFS, La Chambre civile : Statuant sur mesures provisionnelles en instance unique : Prend acte du retrait de la requête formée le 19 mai 2017 par A______ SA contre B______ SA. Raye la cause du rôle. Condamne A______ SA aux frais judiciaires arrêtés à 1'500 fr., compensés avec l'avance, acquise à due concurrence à l'Etat de Genève. Invite les Services financiers du Pouvoir judiciaire à restituer la somme de 1'500 fr. à A______ SA. Condamne A______ SA à verser le montant de 4'000 fr. à B______ SA à titre de dépens. Siégeant : Madame Florence KRAUSKOPF, présidente; Monsieur Laurent RIEBEN et Monsieur Ivo BUETTI,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