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ACJC/970/2018 vom 13. August 2018</w:t>
      </w:r>
    </w:p>
    <w:p>
      <w:r>
        <w:t>GE Cour de justice, 2018-08-13, FR</w:t>
      </w:r>
    </w:p>
    <w:p>
      <w:r>
        <w:rPr>
          <w:b/>
        </w:rPr>
        <w:t xml:space="preserve">Quelle: </w:t>
      </w:r>
      <w:r>
        <w:t>https://mcp.opencaselaw.ch/entscheid/ge_gerichte_ACJC_970_2018</w:t>
      </w:r>
    </w:p>
    <w:p>
      <w:r>
        <w:t>FR: GE_GERICHTE ACJC/970/2018 du 13 août 2018</w:t>
      </w:r>
    </w:p>
    <w:p>
      <w:r>
        <w:t>IT: GE_GERICHTE ACJC/970/2018 del 13 agosto 2018</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- 9/22 -</w:t>
      </w:r>
    </w:p>
    <w:p>
      <w:r>
        <w:t>C/26816/2014</w:t>
      </w:r>
    </w:p>
    <w:p>
      <w:r>
        <w:t>En l'espèce, la valeur litigieuse est atteinte, dès lors que la valeur de la prétention totale réclamée en première instance par l'appelante excède 1'800'000 fr.</w:t>
      </w:r>
    </w:p>
    <w:p>
      <w:r>
        <w:rPr>
          <w:b/>
        </w:rPr>
        <w:t>E. 1.2</w:t>
      </w:r>
    </w:p>
    <w:p>
      <w:r>
        <w:t>L'appel a été interjeté dans le délai de trente jours (art. 311 al. 1 et 145 al. 1 let. b CPC) et suivant la forme prescrite par la loi (art. 130, 131, 311 al. 1 CPC). Il est ainsi recevable.</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1.5</w:t>
      </w:r>
    </w:p>
    <w:p>
      <w:r>
        <w:t>A______ sera désignée ci-après comme l'appelante et B______ comme l'intimée.</w:t>
      </w:r>
    </w:p>
    <w:p>
      <w:r>
        <w:rPr>
          <w:b/>
        </w:rPr>
        <w:t>E. 2</w:t>
      </w:r>
    </w:p>
    <w:p>
      <w:r>
        <w:t>L'appelante a produit des pièces nouvelles, soit une plainte pénale déposée le 14 septembre 2017 et ses annexes, dont un courrier daté du 18 octobre 1991, ainsi que deux contrats de travail des 29 juin et 15 août 2017 et le cahier des charges y afférent daté du 27 juin 2017.</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plainte pénale et le contrat de travail du 15 août 2017 sont postérieurs à la date à laquelle la cause a été gardée à juger, soit le 30 juin 2017 date du dépôt des dernières écritures de première instance.</w:t>
      </w:r>
    </w:p>
    <w:p>
      <w:r>
        <w:t>Ces deux documents sont donc recevables, ainsi que les faits qui s'y rapportent. Il n'en va cependant pas de même des annexes à la plainte pénale, notamment un courrier du 18 octobre 1991, dans la mesure où ces pièces sont antérieures à la clôture de la procédure de première instance. La justification avancée par l'appelante afin de guérir la tardiveté de la production de ce courrier, soit la nécessité de mettre de l'ordre dans ses archives, n'est pas suffisante pour retenir qu'il ne pouvait pas être produit en première instance, même en faisant preuve de diligence. Par ailleurs, le simple fait que cette pièce soit produite en annexe à une autre pièce recevable n'est pas non plus de nature à la rendre recevable.</w:t>
      </w:r>
    </w:p>
    <w:p>
      <w:r>
        <w:t>- 10/22 -</w:t>
      </w:r>
    </w:p>
    <w:p>
      <w:r>
        <w:t>C/26816/2014</w:t>
      </w:r>
    </w:p>
    <w:p>
      <w:r>
        <w:t>Le contrat de travail du 29 juin 2017 et le cahier des charges auraient pu être produits en première instance et sont donc irrecevables.</w:t>
      </w:r>
    </w:p>
    <w:p>
      <w:r>
        <w:rPr>
          <w:b/>
        </w:rPr>
        <w:t>E. 3</w:t>
      </w:r>
    </w:p>
    <w:p>
      <w:r>
        <w:t>L'appelante demande la suspension de la cause jusqu'à droit jugé sur sa plainte pénale déposée le 14 septembre 2017.</w:t>
      </w:r>
    </w:p>
    <w:p>
      <w:r>
        <w:rPr>
          <w:b/>
        </w:rPr>
        <w:t>E. 3.1</w:t>
      </w:r>
    </w:p>
    <w:p>
      <w:r>
        <w:t>L'art. 126 al. 1 CPC permet au juge d'ordonner la suspension de la procédure si des motifs d'opportunité le commandent, ce qui pourra notamment être le cas lorsque la décision dépend du sort d'un autre procès.</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arrêts du Tribunal fédéral 5A_714/2014 consid. 4.2; 9C_293/2014 du 16 octobre 2014 consid. 2.2.2).</w:t>
      </w:r>
    </w:p>
    <w:p>
      <w:r>
        <w:t>La suspension de la procédure dans l'attente du sort d'une autre procédure n'entre pas seulement en considération si cette dernière concerne une demande identique, entre les mêmes parties. Elle peut aussi intervenir lorsque la seconde procédure se trouve dans un lien de connexité avec la première. Il s'agit en effet d'éviter des décisions contradictoires ou incohérentes ou de chercher à simplifier de manière significative la procédure à suspendre (arrêt du Tribunal fédéral 4A_683/2014 du 17 février 2015 consid. 2.1; FREI, Berner Kommentar, Schweizerische Zivilprozessordnung, Band I, 2012, n. 11 ad art. 126 CPC). Il peut en aller ainsi d'une procédure pénale portant notamment sur l'existence d'un faux témoignage commis dans le cadre de la procédure civile dont la suspension est envisagée (GSCHWEND, Basker Kommentar - ZPO, 3ème éd., 2017, n. 13 ad art. 126 CPC; FREI, op. cit., n. 2 ad art. 126 CPC).</w:t>
      </w:r>
    </w:p>
    <w:p>
      <w:r>
        <w:t>Les exigences quant à la dépendance de la procédure à suspendre par rapport à l'autre procédure sont élevées.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important de savoir si la décision à attendre aura ou non - au moins en fait - un effet obligatoire. En règle générale, une suspension n'est pas indiquée lorsque seule la solution de questions de droit ou de preuves peut être attendue. Il en va de même lorsqu'il peut être remédié au motif de suspension avancé par d'autres mesures, moins incisives. L'intérêt à la suspension sera plus important lorsque l'autre procédure tranche une question préjudicielle de la procédure suspendue, que lorsque dans l'autre procédure, seule est en cause une</w:t>
      </w:r>
    </w:p>
    <w:p>
      <w:r>
        <w:t>- 11/22 -</w:t>
      </w:r>
    </w:p>
    <w:p>
      <w:r>
        <w:t>C/26816/2014 administration de preuves qui peut aussi intervenir dans la procédure suspendue (ACJC/343/2017 du 24 mars 2017 consid. 3.1.1 et les références citées).</w:t>
      </w:r>
    </w:p>
    <w:p>
      <w:r>
        <w:t>Par ailleurs, l'autre procédure, dont l'issue sera déterminante pour le sort de la procédure suspendue, doit être déjà bien avancée faute de quoi, en règle générale, la suspension ne sera pas compatible avec l'exigence de célérité (FREI, op. cit., n. 5 ad art. 126 CPC).</w:t>
      </w:r>
    </w:p>
    <w:p>
      <w:r>
        <w:t>Le juge bénéficie d'un large pouvoir d'appréciation en la matière (arrêt du Tribunal fédéral 4A_683/2014 du 17 février 2015 consid. 2.1).</w:t>
      </w:r>
    </w:p>
    <w:p>
      <w:r>
        <w:rPr>
          <w:b/>
        </w:rPr>
        <w:t>E. 3.2</w:t>
      </w:r>
    </w:p>
    <w:p>
      <w:r>
        <w:t>En l'espèce, l'appelante expose, dans ses écritures, avoir déposé plainte pénale contre les témoins C______ et D______ pour faux témoignage. Elle omet toutefois d'indiquer quels sont les faits décrits par ces témoins qui seraient faux et pour quelle raison. Par ailleurs, elle se réfère, dans ce contexte, à une pièce irrecevable dans la présente procédure.</w:t>
      </w:r>
    </w:p>
    <w:p>
      <w:r>
        <w:t>Elle n'a en outre fourni aucune information sur la suite donnée à sa plainte pénale et sur l'état d'avancement de la procédure.</w:t>
      </w:r>
    </w:p>
    <w:p>
      <w:r>
        <w:t>Le simple fait de produire la plainte pénale sans alléguer son contenu et sans exposer les faits retenus par le Tribunal qui auraient été prétendument influencés par un faux témoignage est insuffisant.</w:t>
      </w:r>
    </w:p>
    <w:p>
      <w:r>
        <w:t>L'existence d'un faux témoignage pouvant influencer la présente procédure n'est de plus pas rendue vraisemblable. Si la conduite parallèle d'une procédure pénale pour faux témoignage peut constituer un motif, selon la doctrine, de suspension de la procédure civile, encore faut-il que les faits visés puissent avoir une influence sur ladite procédure, ce qui n'est ni allégué, ni démontré. En particulier, l'on ne discerne pas comment un courrier adressé par la direction de l'intimée à G______ aurait dû être connu d'une employée de la Ville de Genève (témoin D______) ou par un employé de l'intimée s'occupant du dossier depuis 1992, soit l'année suivant ce courrier (témoin C______).</w:t>
      </w:r>
    </w:p>
    <w:p>
      <w:r>
        <w:t>Faute de motivation concrète et en l'absence de toute information sur l'avancement de la procédure pénale, la Cour, faisant usage de son large pouvoir d'appréciation, rejettera la demande de suspension, afin de privilégier le principe constitutionnel de célérité.</w:t>
      </w:r>
    </w:p>
    <w:p>
      <w:r>
        <w:rPr>
          <w:b/>
        </w:rPr>
        <w:t>E. 4.1</w:t>
      </w:r>
    </w:p>
    <w:p>
      <w:r>
        <w:t>L'appelante reproche au Tribunal d'avoir retenu à tort que la négociation du bail s'est déroulée sans l'intervention de l'intimée. Pour étayer son raisonnement, elle se fonde d'une part sur une pièce irrecevable (cf. consid. 2.2 supra) et d'autre part sur le courrier du 20 décembre 1991 adressé à l'intimée, par lequel la Ville de Genève demandait qu'il soit précisé, dans le contrat, que les travaux mis à sa charge le seraient uniquement à condition que le loyer reste à un prix raisonnable.</w:t>
      </w:r>
    </w:p>
    <w:p>
      <w:r>
        <w:t>- 12/22 -</w:t>
      </w:r>
    </w:p>
    <w:p>
      <w:r>
        <w:t>C/26816/2014</w:t>
      </w:r>
    </w:p>
    <w:p>
      <w:r>
        <w:rPr>
          <w:b/>
        </w:rPr>
        <w:t>E. 4.2</w:t>
      </w:r>
    </w:p>
    <w:p>
      <w:r>
        <w:t>Ce grief est infondé dans la mesure où les témoignages concordants recueillis durant la procédure établissent que la négociation du bail a eu lieu directement entre l'appelante et la Ville de Genève, par l'intermédiaire de son président de l'époque.</w:t>
      </w:r>
    </w:p>
    <w:p>
      <w:r>
        <w:t>Le courrier du 20 décembre 1991 ne contient pas la preuve qu'un mandat aurait été confié à B______ de négocier le contrat de bail, plus particulièrement le montant du loyer. En effet, la Ville de Genève se borne dans ce courrier à souhaiter l'inclusion d'une clause en lien avec des travaux à effectuer et leur répercussion sur le prix du loyer, celui-ci ayant été arrêté, conformément au vœu exprimé par l'appelante à moins de 80'000 fr.</w:t>
      </w:r>
    </w:p>
    <w:p>
      <w:r>
        <w:t>Il est en outre établi que l'intimée a rédigé et signé le contrat de bail, ce qui explique pourquoi la Ville de Genève s'est adressée à elle pour insérer une clause supplémentaire.</w:t>
      </w:r>
    </w:p>
    <w:p>
      <w:r>
        <w:t>Par conséquent, l'appréciation des faits par le Tribunal est conforme au dossier.</w:t>
      </w:r>
    </w:p>
    <w:p>
      <w:r>
        <w:rPr>
          <w:b/>
        </w:rPr>
        <w:t>E. 5</w:t>
      </w:r>
    </w:p>
    <w:p>
      <w:r>
        <w:t>L'appelante fait grief au Tribunal d'avoir violé son droit d'être entendue en refusant d'ordonner une expertise portant sur le niveau des loyers du marché genevois en 1992 et en 2002.</w:t>
      </w:r>
    </w:p>
    <w:p>
      <w:r>
        <w:rPr>
          <w:b/>
        </w:rPr>
        <w:t>E. 5.1</w:t>
      </w:r>
    </w:p>
    <w:p>
      <w:r>
        <w:t>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 La jurisprudence développée par le Tribunal fédéral en relation avec l'art. 29 al. 2 Cst. doit aussi être prise en compte pour l'interprétation de l'art. 53 CPC qui règle au niveau légal, pour le domaine d'application du Code de procédure civile, la garantie constitutionnelle minimale prévue par l'art. 29 al. 2 Cst. (arrêts du Tribunal fédéral 5A_876/2015 du 22 avril 2016 consid. 3.3; 5A_465/2014 du 20 août 2014 consid. 5.1).</w:t>
      </w:r>
    </w:p>
    <w:p>
      <w:r>
        <w:rPr>
          <w:b/>
        </w:rPr>
        <w:t>E. 5.2</w:t>
      </w:r>
    </w:p>
    <w:p>
      <w:r>
        <w:t>En l'espèce, il ressort des considérants qui suivent que le niveau des loyers du marché genevois en 1992 et en 2002 n'est pas pertinent pour trancher le litige de sorte que le refus du Tribunal d'ordonner l'expertise litigieuse n'est pas critiquable.</w:t>
      </w:r>
    </w:p>
    <w:p>
      <w:r>
        <w:t>Par conséquent, ce grief formel sera rejeté.</w:t>
      </w:r>
    </w:p>
    <w:p>
      <w:r>
        <w:t>- 13/22 -</w:t>
      </w:r>
    </w:p>
    <w:p>
      <w:r>
        <w:t>C/26816/2014</w:t>
      </w:r>
    </w:p>
    <w:p>
      <w:r>
        <w:rPr>
          <w:b/>
        </w:rPr>
        <w:t>E. 6</w:t>
      </w:r>
    </w:p>
    <w:p>
      <w:r>
        <w:t>L'appelante reproche au Tribunal de n'avoir pas conclu à l'existence d'une responsabilité contractuelle de l'intimée en lien avec la négociation et la conclusion du bail en 1991.</w:t>
      </w:r>
    </w:p>
    <w:p>
      <w:r>
        <w:rPr>
          <w:b/>
        </w:rPr>
        <w:t>E. 6.1</w:t>
      </w:r>
    </w:p>
    <w:p>
      <w:r>
        <w:t>Aux termes de l'art. 396 al. 1 CO, l'étendue du mandat est déterminée par la convention, ou à défaut, par la nature de l'affaire.</w:t>
      </w:r>
    </w:p>
    <w:p>
      <w:r>
        <w:t>En présence d'un litige sur le contenu d'un contrat, le juge doit interpréter les manifestations de volonté des parties (ATF 131 III 606 consid. 4.1; arrêt du Tribunal fédéral 4A_155/2017 du 12 octobre 2017 consid. 2.3).</w:t>
      </w:r>
    </w:p>
    <w:p>
      <w:r>
        <w:t>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w:t>
      </w:r>
    </w:p>
    <w:p>
      <w:r>
        <w:t>Il découle en outre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w:t>
      </w:r>
    </w:p>
    <w:p>
      <w:r>
        <w:t>- 14/22 -</w:t>
      </w:r>
    </w:p>
    <w:p>
      <w:r>
        <w:t>C/26816/2014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w:t>
      </w:r>
    </w:p>
    <w:p>
      <w:r>
        <w:rPr>
          <w:b/>
        </w:rPr>
        <w:t>E. 6.2</w:t>
      </w:r>
    </w:p>
    <w:p>
      <w:r>
        <w:t>En l'espèce, le contrat conclu par les parties a été à juste titre qualifié de contrat de mandat (arrêt du Tribunal fédéral 4A_145/2016 du 19 juillet 2016 consid. 3.1), ce qui n'est plus remis en cause en appel.</w:t>
      </w:r>
    </w:p>
    <w:p>
      <w:r>
        <w:t>L'appelante estime, en résumé, que le contrat de gérance d'immeuble contient par essence un volet portant sur les conseils devant être fournis au bailleur sur les loyers qu'il peut obtenir par la mise à sa disposition de son bien.</w:t>
      </w:r>
    </w:p>
    <w:p>
      <w:r>
        <w:t>Or, il ressort du jugement entrepris que le Tribunal, se conformant à la jurisprudence précitée, est parvenu à déterminer la réelle et commune intention des parties, à savoir que l'appelante n'avait pas souhaité confier à l'intimée le mandat de négocier le montant du loyer et de la conseiller à ce sujet.</w:t>
      </w:r>
    </w:p>
    <w:p>
      <w:r>
        <w:t>Les griefs en fait de l'appelante exposés ci-dessus (consid. 4) ont été rejetés, de sorte que la réelle et commune intention des parties telle que retenue par le Tribunal doit être confirmée.</w:t>
      </w:r>
    </w:p>
    <w:p>
      <w:r>
        <w:t>L'appelante, lorsqu'elle se réfère à certaines obligations contenues dans un contrat de régie typique, perd de vue que ces obligations ne découlent pas de la loi, mais sont soumises, en raison de la nature du contrat de mandat, à la libre volonté des parties. Elle erre ainsi en alléguant que l'absence de contrat écrit signifie l'absence de convention explicite entre les parties. Les références au "bon sens", aux prestations offertes de manière générale par l'appelante et d'autres régies de la place et aux "principes généraux applicables aux contrats de mandat" auraient eu leur place dans une interprétation objective de la convention conclue, qui n'entre cependant pas en considération ici.</w:t>
      </w:r>
    </w:p>
    <w:p>
      <w:r>
        <w:t>En tout état de cause, même à supposer que le mandat initial de l'intimé comprenait la fourniture de conseils au sujet du montant du loyer initial, cela n'impliquerait pas encore que sa responsabilité serait engagée puisque l'appelante devrait encore établir la violation par l'intimée de son devoir de diligence et l'existence d'un lien de causalité entre cette violation et le dommage qu'elle allègue. Or, il ressort des témoignages recueillis que le président de l'intimée, chargé à l'époque de négocier le loyer avec la Ville de Genève, ne voulait pas d'un loyer excédant le montant annuel de 80'000 fr., de sorte que les éventuels conseils fournis par l'intimée dans ce cadre n'auraient pas eu pour conséquence la fixation</w:t>
      </w:r>
    </w:p>
    <w:p>
      <w:r>
        <w:t>- 15/22 -</w:t>
      </w:r>
    </w:p>
    <w:p>
      <w:r>
        <w:t>C/26816/2014 d'un loyer plus élevé que celui retenu. De plus, ledit loyer, fixé à 70 fr. par m2, se situait dans la moyenne des loyers payés à cette époque par la Ville de Genève pour des bâtiments similaires, ce d'autant plus que les travaux importants à effectuer étaient contractuellement à la charge de la locataire.</w:t>
      </w:r>
    </w:p>
    <w:p>
      <w:r>
        <w:t>Les griefs en lien avec la responsabilité de l'appelante lors de la négociation du loyer initial seront donc rejetés.</w:t>
      </w:r>
    </w:p>
    <w:p>
      <w:r>
        <w:rPr>
          <w:b/>
        </w:rPr>
        <w:t>E. 7</w:t>
      </w:r>
    </w:p>
    <w:p>
      <w:r>
        <w:t>Les parties contestent l'appréciation du Tribunal quant à la responsabilité de l'intimée suite au mandat confié en décembre 2009 par l'appelante en lien avec l'augmentation du loyer.</w:t>
      </w:r>
    </w:p>
    <w:p>
      <w:r>
        <w:rPr>
          <w:b/>
        </w:rPr>
        <w:t>E. 7.1</w:t>
      </w:r>
    </w:p>
    <w:p>
      <w:r>
        <w:t>Le mandataire est responsable envers le mandant de la bonne et fidèle exécution du mandat (art. 398 al. 2 CO).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En cas d'inexécution ou de mauvaise exécution de son obligation de diligence, le mandataire est tenu de réparer le dommage qui en résulte, à moins qu'il ne prouve qu'aucune faute ne lui est imputable (art. 97 al. 1 CO).</w:t>
      </w:r>
    </w:p>
    <w:p>
      <w:r>
        <w:t>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(WERRO, Commentaire romand, Code des obligations I, 2ème éd. 2012, n. 17 ad art. 398 CO et les références citées).</w:t>
      </w:r>
    </w:p>
    <w:p>
      <w:r>
        <w:t>L'obligation de conseil exige une intervention active du mandataire, qui doit, d'une part, indiquer laquelle des mesures correspond (à son avis) le mieux à l'intérêt du mandant et, d'autre part, mettre celui-ci en garde contre les risques que comportent certaines mesures, notamment lorsqu'il est lui-même un spécialiste et que le mandant ne l'est pas (WERRO, op. cit., n. 18 ad art. 398 CO et les références citées).</w:t>
      </w:r>
    </w:p>
    <w:p>
      <w:r>
        <w:t>Le gérant d'immeuble doit exécuter son mandat en temps utile (MONTAVON, Les contrats de gérance d'immeubles, étude et pratique, 1991, n. 509).</w:t>
      </w:r>
    </w:p>
    <w:p>
      <w:r>
        <w:t>En règle générale, l'étendue des devoirs susvisés s'apprécie selon des critères objectifs; il s'agit de déterminer comment un mandataire consciencieux, placé</w:t>
      </w:r>
    </w:p>
    <w:p>
      <w:r>
        <w:t>- 16/22 -</w:t>
      </w:r>
    </w:p>
    <w:p>
      <w:r>
        <w:t>C/26816/2014 dans la même situation, aurait agi en gérant l'affaire en cause; les exigences sont plus rigoureuses à l'égard du mandataire qui exerce son activité à titre professionnel et contre rémunération (ATF 127 III 328 consid. 3; s'agissant en particulier des régies professionnelles, voir MARCHAND, La gérance d'immeuble conventionnelle et légale, 14ème Séminaire sur le droit du bail, 2006, p. 20). 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w:t>
      </w:r>
    </w:p>
    <w:p>
      <w:r>
        <w:t>Consistant dans la diminution involontaire de la fortune nette, le dommage correspond à la différence entre le montant actuel du patrimoine du lésé et la valeur à laquelle s'élèverait ce même patrimoine si l'événement dommageable - ou la violation du contrat - ne s'était pas produit. Il peut survenir sous la forme d'une diminution de l'actif, d'une augmentation du passif, d'une non-augmentation de l'actif ou d'une non-diminution du passif (ATF 133 III 462 consid. 4.4.2; 132 III 359 consid. 4).</w:t>
      </w:r>
    </w:p>
    <w:p>
      <w:r>
        <w:rPr>
          <w:b/>
        </w:rPr>
        <w:t>E. 7.2</w:t>
      </w:r>
    </w:p>
    <w:p>
      <w:r>
        <w:t>Il n'est plus remis en cause en appel que, lorsque l'appelante lui a posé la question de l'éventuelle augmentation du loyer de l'immeuble, l'intimée a accepté d'étendre son mandat à ce service. L'intimée était donc soumise à une obligation de fidélité lors de l'exécution.</w:t>
      </w:r>
    </w:p>
    <w:p>
      <w:r>
        <w:rPr>
          <w:b/>
        </w:rPr>
        <w:t>E. 7.3</w:t>
      </w:r>
    </w:p>
    <w:p>
      <w:r>
        <w:t>L'intimée, à l'appui de son appel joint, estime que le Tribunal a erré en retenant que sa responsabilité était engagée par l'envoi de sa réponse du 21 décembre 2009 selon laquelle l'augmentation du loyer n'était pas possible et qu'une baisse était même envisageable. En effet, l'application de la méthode dite relative interdisait d'augmenter le loyer au vu du taux d'intérêt hypothécaire de référence notamment.</w:t>
      </w:r>
    </w:p>
    <w:p>
      <w:r>
        <w:t>Le Tribunal a retenu que l'appelante avait fourni une réponse erronée en fondant son calcul sur une surface locative inexacte. Elle avait donc manqué de diligence.</w:t>
      </w:r>
    </w:p>
    <w:p>
      <w:r>
        <w:t>Il ressort du courrier de l'appelante du 4 décembre 2009 que celle-ci souhaitait une augmentation du loyer le plus rapidement possible. Ce courrier a été rédigé dans un contexte où l'appelante peinait à réunir les fonds pour l'entretien de son immeuble, ce que n'ignorait pas l'intimée. Il était donc de première importance de maximiser les revenus tirés de la location de l'immeuble le plus rapidement possible.</w:t>
      </w:r>
    </w:p>
    <w:p>
      <w:r>
        <w:t>- 17/22 -</w:t>
      </w:r>
    </w:p>
    <w:p>
      <w:r>
        <w:t>C/26816/2014</w:t>
      </w:r>
    </w:p>
    <w:p>
      <w:r>
        <w:t>Si, certes, le courrier du 4 décembre 2009 ne contient pas de mots signifiant expressément que l'appelante envisageait aussi une éventuelle résiliation du contrat, l'intimée n'a pas pu le comprendre différemment. D'abord, il a été rédigé par une personne qui n'était pas spécialiste en matière immobilière. Ensuite, l'erreur commise dans le calcul de la surface démontre que l'intimée a souhaité vérifier que le loyer se situait dans une fourchette acceptable par rapport au marché. En effet, dans l'optique d'une application pure et simple de la méthode dite relative pour le calcul du loyer, la valeur par m2 était irrelevante, puisque seule importait une comparaison entre le loyer payé auparavant et le loyer admissible selon les indices applicables. Or, en procédant à ce calcul par m2, l'intimée a implicitement envisagé une résiliation du bail, qui était possible ainsi que l'ont démontré les circonstances ultérieures, pour obtenir un loyer plus important.</w:t>
      </w:r>
    </w:p>
    <w:p>
      <w:r>
        <w:t>L'examen d'une éventuelle résiliation du bail pour augmenter le revenu de l'immeuble était donc compris dans le mandat confié par l'appelante, ainsi que cela ressort des circonstances antérieures et du texte du courrier.</w:t>
      </w:r>
    </w:p>
    <w:p>
      <w:r>
        <w:t>En commettant cette erreur de calcul, l'intimée a donc violé son obligation de diligence, ainsi que l'a retenu le Tribunal.</w:t>
      </w:r>
    </w:p>
    <w:p>
      <w:r>
        <w:t>Le jugement sur ce point sera confirmé.</w:t>
      </w:r>
    </w:p>
    <w:p>
      <w:r>
        <w:t>Il en ira de même au sujet des autres conditions de la responsabilité de l'intimée qui ne sont plus discutées en appel.</w:t>
      </w:r>
    </w:p>
    <w:p>
      <w:r>
        <w:rPr>
          <w:b/>
        </w:rPr>
        <w:t>E. 7.4</w:t>
      </w:r>
    </w:p>
    <w:p>
      <w:r>
        <w:t>La question de l'étendue de la responsabilité de l'intimée est remise en cause par l'appelante : celle-ci estime que l'intimée avait le temps de lui fournir une réponse et de procéder à l'augmentation du loyer, voire à la résiliation du bail.</w:t>
      </w:r>
    </w:p>
    <w:p>
      <w:r>
        <w:t>Le Tribunal a considéré, au contraire, que le temps imparti à l'intimée n'était pas suffisant pour qu'elle prenne des mesures plus tôt.</w:t>
      </w:r>
    </w:p>
    <w:p>
      <w:r>
        <w:t>Ce raisonnement ne peut être suivi.</w:t>
      </w:r>
    </w:p>
    <w:p>
      <w:r>
        <w:t>En effet, à réception du courrier du 4 décembre 2009, l'intimée disposait de plus de trois semaines, soit jusqu'au 31 décembre 2009, pour agir. La date du 21 décembre 2009 retenue par le Tribunal, sans autre explication, n'est pas déterminante. Cette constatation s'impose d'autant plus que l'appelante avait déjà fait part à l'intimée, en septembre 2009, de son intention d'augmenter le loyer de la crèche. L'intimée, prenant la peine de s'entourer des informations correctes, aurait aisément et rapidement constaté que le loyer était particulièrement bas, ce d'autant plus qu'elle suivait ce dossier depuis de nombreuses années.</w:t>
      </w:r>
    </w:p>
    <w:p>
      <w:r>
        <w:t>- 18/22 -</w:t>
      </w:r>
    </w:p>
    <w:p>
      <w:r>
        <w:t>C/26816/2014 Au vu de la hausse significative de loyer qui pouvait être obtenue par l'appelante, ainsi que de ses difficultés financières connues de l'intimée, celle-ci aurait dû traiter en priorité ce dossier afin de remédier à cette situation. Elle aurait alors eu suffisamment de temps pour fournir des conseils et prendre les dispositions nécessaires, après consultation de sa mandante, soit notifier une hausse de loyer ou résilier le bail.</w:t>
      </w:r>
    </w:p>
    <w:p>
      <w:r>
        <w:t>Le fait que la fin d'année civile soit une période chargée pour les régies immobilières ne permet pas d'atténuer de quelque manière que ce soit sa responsabilité. Etant donné que le mandat confié était nouveau, elle n'était pas obligée de l'accepter si elle était surchargée de travail et ne pouvait pas le traiter correctement.</w:t>
      </w:r>
    </w:p>
    <w:p>
      <w:r>
        <w:t>Conseillée par une régie immobilière diligente, l'appelante aurait ainsi pu obtenir un loyer plus élevé dès le 1er janvier 2011. Par conséquent la responsabilité de l'intimée couvre la perte de loyer pour cette année également.</w:t>
      </w:r>
    </w:p>
    <w:p>
      <w:r>
        <w:t>Les autres conditions de la responsabilité de l'intimée ne sont pas remises en cause de sorte qu'il peut être renvoyé aux développements du premier juge à ce sujet.</w:t>
      </w:r>
    </w:p>
    <w:p>
      <w:r>
        <w:t>Ainsi, le dommage subi en 2011 sera fixé de la même manière que le dommage retenu par le Tribunal pour l'année 2012. L'ISPC ayant évolué à la baisse entre janvier 2011 (99.6 points, base décembre 2010 = 100) et janvier 2013 (98.6 points, base décembre 2010 = 100), la Cour retiendra que l'appelante aurait pu obtenir le loyer annuel de 184'517 fr. (étant donné le loyer de 182'664 fr. convenu pour l'année 2013), alors qu'elle admet avoir perçu le montant de 91'659 fr., le dommage étant donc de 92'858 fr.</w:t>
      </w:r>
    </w:p>
    <w:p>
      <w:r>
        <w:t>L'intimée sera donc condamnée à payer ce montant à l'appelante, en sus de celui qu'elle a été condamnée à payer par le Tribunal, avec intérêts à 5% dès la date moyenne du 30 juin 2011.</w:t>
      </w:r>
    </w:p>
    <w:p>
      <w:r>
        <w:rPr>
          <w:b/>
        </w:rPr>
        <w:t>E. 8</w:t>
      </w:r>
    </w:p>
    <w:p>
      <w:r>
        <w:t>L'appelante reproche au Tribunal d'avoir rejeté ses conclusions en remboursement des honoraires payés à l'intimée.</w:t>
      </w:r>
    </w:p>
    <w:p>
      <w:r>
        <w:rPr>
          <w:b/>
        </w:rPr>
        <w:t>E. 8.1</w:t>
      </w:r>
    </w:p>
    <w:p>
      <w:r>
        <w:t>Conformément à l'art. 311 al. 1 CPC, l'appel doit être motivé. Il incombe à l'appelant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- 19/22 -</w:t>
      </w:r>
    </w:p>
    <w:p>
      <w:r>
        <w:t>C/26816/2014</w:t>
      </w:r>
    </w:p>
    <w:p>
      <w:r>
        <w:rPr>
          <w:b/>
        </w:rPr>
        <w:t>E. 8.2</w:t>
      </w:r>
    </w:p>
    <w:p>
      <w:r>
        <w:t>A ce sujet, l'appelante ne fournit pas d'autres développements que ceux déjà exposés en première instance, de sorte que, sur ce point, son appel ne respecte pas les exigences de motivation minimales.</w:t>
      </w:r>
    </w:p>
    <w:p>
      <w:r>
        <w:t>En tout état de cause, dans la mesure où l'intimée a été condamnée à indemniser l'appelante pour le dommage qu'elle lui a causé, aucune réduction de ses honoraires ne se justifie. En effet, selon la jurisprudence, un éventuel cumul entre le droit à la réduction des honoraires et la réparation du dommage causé par la mauvaise exécution ne doit pas conduire à un enrichissement du mandant (arrêt du Tribunal fédéral 5A_522/2014 du 16 décembre 2015 consid. 9.3.2 non publié aux ATF 142 III 9).</w:t>
      </w:r>
    </w:p>
    <w:p>
      <w:r>
        <w:t>Ce grief sera dès lors rejeté.</w:t>
      </w:r>
    </w:p>
    <w:p>
      <w:r>
        <w:rPr>
          <w:b/>
        </w:rPr>
        <w:t>E. 9.1</w:t>
      </w:r>
    </w:p>
    <w:p>
      <w:r>
        <w:t>Si l'instance d'appel statue à nouveau, elle se prononce sur les frais de la première instance (art. 318 al. 3 CPC).</w:t>
      </w:r>
    </w:p>
    <w:p>
      <w:r>
        <w:t>Conformément à l'art. 106, les frais sont mis à la charge de la partie succombante (al. 1). Lorsqu'aucune des parties n'obtient entièrement gain de cause, les frais sont répartis selon le sort de la cause (al. 2).</w:t>
      </w:r>
    </w:p>
    <w:p>
      <w:r>
        <w:t>Le montant des frais judiciaires de première instance n'étant pas remis en cause il sera confirmé. Le Tribunal, après avoir constaté que l'appelante obtenait gain de cause sur le principe de la responsabilité et sur 1/20ème de ses prétentions, a mis à sa charge les trois quarts des frais de première instance. Etant donné que, suite à la réformation de la décision de première instance par le présent arrêt, l'appelante se voit désormais allouer 1/10ème de ses conclusions de première instance, la répartition des frais opérée par le premier juge demeure applicable et sera donc confirmée. Les dépens alloués par le Tribunal ne sont remis en cause de manière motivée par aucune des parties et seront également confirmés.</w:t>
      </w:r>
    </w:p>
    <w:p>
      <w:r>
        <w:rPr>
          <w:b/>
        </w:rPr>
        <w:t>E. 9.2.1</w:t>
      </w:r>
    </w:p>
    <w:p>
      <w:r>
        <w:t>Il sera fait masse des frais judiciaires d'appel et d'appel joint qui seront arrêtés à 43'030 fr. au total, entièrement compensés avec les avances de frais fournies (art. 17 et 35 RTFMC et 111 al. 1 CPC).</w:t>
      </w:r>
    </w:p>
    <w:p>
      <w:r>
        <w:t>Dans la mesure où l'appelante obtient partiellement gain de cause, comme évoqué au consid. 9.1 supra, soit qu'il lui est donné raison sur le principe de la responsabilité de l'intimée, qu'il lui est alloué 1/10ème de ses conclusions, et que l'intimée est entièrement déboutée de son appel joint, les frais seront répartis à raison d'un quart à charge de l'intimée et de trois quarts à charge de l'appelante (art. 106 al. 1 et 2 CPC).</w:t>
      </w:r>
    </w:p>
    <w:p>
      <w:r>
        <w:t>- 20/22 -</w:t>
      </w:r>
    </w:p>
    <w:p>
      <w:r>
        <w:t>C/26816/2014</w:t>
      </w:r>
    </w:p>
    <w:p>
      <w:r>
        <w:t>L'intimée sera donc condamnée à verser 4'057 fr. 50 (10'757 fr. 50 [1/4 de 43'030 fr.] - 6'700 fr. [montant de l'avance versée]) à l'appelante.</w:t>
      </w:r>
    </w:p>
    <w:p>
      <w:r>
        <w:rPr>
          <w:b/>
        </w:rPr>
        <w:t>E. 9.2.2</w:t>
      </w:r>
    </w:p>
    <w:p>
      <w:r>
        <w:t>Les deux parties ont conclu à l'octroi de dépens.</w:t>
      </w:r>
    </w:p>
    <w:p>
      <w:r>
        <w:t>Les dépens seront arrêtés à 20'000 fr. (art. 85 et 90 RTFMC).</w:t>
      </w:r>
    </w:p>
    <w:p>
      <w:r>
        <w:t>Pour les mêmes motifs que ceux développés au titre des frais ci-dessus, les dépens seront répartis à concurrence d'un quart en faveur de l'appelante et de trois quarts en faveur de l'intimée.</w:t>
      </w:r>
    </w:p>
    <w:p>
      <w:r>
        <w:t>Ainsi, l'appelante sera condamné à verser 15'000 fr. à l'intimée à titre de dépens d'appel et l'intimée 5'000 fr. à l'appelante. * * * * * *</w:t>
      </w:r>
    </w:p>
    <w:p>
      <w:r>
        <w:t>- 21/22 -</w:t>
      </w:r>
    </w:p>
    <w:p>
      <w:r>
        <w:t>C/26816/2014 PAR CES MOTIFS, La Chambre civile : A la forme : Déclare recevables l'appel interjeté par la A______ et l'appel-joint interjeté par B______ contre le jugement JTPI/9223/2017 rendu le 14 juillet 2017 par le Tribunal de première instance dans la cause C/26816/2014-13. Au fond : Annule le chiffre 1 du jugement entrepris, et statuant à nouveau : Condamne B______ à payer à la A______ 92'858 fr., avec intérêts à 5% l'an dès le 30 juin 2011, et 91'560 fr., avec intérêts à 5% l'an dès le 30 juin 2012. Confirme le jugement entrepris pour le surplus. Déboute les parties de toutes autres conclusions. Sur les frais : Fait masse des frais d'appel et d'appel joint, les arrête à 43'030 fr., les met à la charge de la A______ à raison de 32'272 fr. 50 et de B______ à raison 10'757 fr. 50 et les compense avec les avances de frais versées qui demeurent acquises à l'Etat de Genève. Condamne B______ à verser 4'057 fr. 50 à A______ à titre de frais judiciaires d'appel. Condamne la A______ à verser 15'000 fr. à B______ à titre de dépens d'appel. Condamne B______ à verser 5'000 fr. à A______ à titre de dépens d'appel. Déboute les parties de toutes autres conclusions. Siégeant : Monsieur Laurent RIEBEN, président; Monsieur Patrick CHENAUX, Madame Fabienne GEISINGER-MARIETHOZ, juges; Madame Camille LESTEVEN, greffière.</w:t>
      </w:r>
    </w:p>
    <w:p>
      <w:r>
        <w:t>Le président : Laurent RIEBEN</w:t>
      </w:r>
    </w:p>
    <w:p>
      <w:r>
        <w:t>La greffière : Camille LESTEVEN</w:t>
      </w:r>
    </w:p>
    <w:p>
      <w:r>
        <w:t>- 22/22 -</w:t>
      </w:r>
    </w:p>
    <w:p>
      <w:r>
        <w:t>C/26816/2014</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