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ACJC/969/2016 vom 8. Februar 2016</w:t>
      </w:r>
    </w:p>
    <w:p>
      <w:r>
        <w:t>GE Cour de justice, 2016-02-08, FR</w:t>
      </w:r>
    </w:p>
    <w:p>
      <w:r>
        <w:rPr>
          <w:b/>
        </w:rPr>
        <w:t xml:space="preserve">Quelle: </w:t>
      </w:r>
      <w:r>
        <w:t>https://mcp.opencaselaw.ch/entscheid/ge_gerichte_ACJC_969_2016</w:t>
      </w:r>
    </w:p>
    <w:p>
      <w:r>
        <w:t>FR: GE_GERICHTE ACJC/969/2016 du 8 février 2016</w:t>
      </w:r>
    </w:p>
    <w:p>
      <w:r>
        <w:t>IT: GE_GERICHTE ACJC/969/2016 del 8 febbraio 2016</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porte à la fois sur des questions non patrimoniales, comme les droits parentaux sur les enfants, et sur des questions pécuniaires, comme le montant de la contribution à l'entretien des enfants. Dès lors, par attraction, l'ensemble du litige est de nature non pécuniaire (arrêts du Tribunal fédéral 5A_572/2015 du 8 octobre 2015 consid. 1.1; 5A_697/2009 du 4 mars 2010 consid. 1.1), de sorte que la voie de l'appel est ouverte.</w:t>
      </w:r>
    </w:p>
    <w:p>
      <w:r>
        <w:rPr>
          <w:b/>
        </w:rPr>
        <w:t>E. 1.2</w:t>
      </w:r>
    </w:p>
    <w:p>
      <w:r>
        <w:t>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w:t>
      </w:r>
    </w:p>
    <w:p>
      <w:r>
        <w:rPr>
          <w:b/>
        </w:rPr>
        <w:t>E. 1.3</w:t>
      </w:r>
    </w:p>
    <w:p>
      <w:r>
        <w:t>Si les conclusions au fond de la réponse à l'appel vont au-delà de la simple confirmation du jugement attaqué, il est admissible de considérer cet acte comme un appel joint (ATF 121 III 420 consid. 1). L'appel joint est irrecevable en procédure sommaire (art. 314 CPC). Au vu de ce qui précède, les conclusions prises par l'intimée dans son mémoire de réponse qui vont au-delà de la confirmation du jugement sont irrecevables, ce qui est toutefois sans conséquence dès lors que ces conclusions sont relatives aux enfants et que la Cour statue d'office sur ces points (cf. infra ch. 2).</w:t>
      </w:r>
    </w:p>
    <w:p>
      <w:r>
        <w:rPr>
          <w:b/>
        </w:rPr>
        <w:t>E. 2</w:t>
      </w:r>
    </w:p>
    <w:p>
      <w:r>
        <w:t>La Cour revoit la cause en fait et en droit avec un plein pouvoir d'examen (art. 310 CPC). Dans la mesure des conclusions prises en appel (art. 315 al. 1 CPC), la Cour établit les faits d'office (maxime inquisitoire, art. 272 et 296 al. 1 CPC) et,</w:t>
      </w:r>
    </w:p>
    <w:p>
      <w:r>
        <w:t>- 9/20 -</w:t>
      </w:r>
    </w:p>
    <w:p>
      <w:r>
        <w:t>C/6939/2013 s'agissant des questions relatives aux enfants, elle n'est pas liée par les conclusions des parties (maxime d'office, art. 296 al. 3 CPC). Les mesures protectrices de l'union conjugale étant soumises à la procédure sommaire (art. 271 CPC), la cognition du juge est limitée à la simple vraisemblance des faits et à un examen sommaire du droit (arrêt du Tribunal fédéral 5A_823/2014 consid. 2.2; 5A_823/2013 du 8 mai 2014 consid. 1.3).</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tous les nova sont admis en appel, selon la jurisprudence de la Cour de céans (cf. ACJC/345/2016 consid. 3.1; ACJC/361/2013 consid 1.3) Ainsi, les pièces nouvelles déposées et les allégués nouveaux formés par les parties en appel, qui concernent la situation de leurs enfants mineurs, sont recevables.</w:t>
      </w:r>
    </w:p>
    <w:p>
      <w:r>
        <w:rPr>
          <w:b/>
        </w:rPr>
        <w:t>E. 4</w:t>
      </w:r>
    </w:p>
    <w:p>
      <w:r>
        <w:t>L'attribution de la garde des enfants à leur mère n'est pas contestée en appel. Elle est conforme à l'intérêt des enfants. Seules restent litigieuses les modalités d'exercice du droit de visite du père.</w:t>
      </w:r>
    </w:p>
    <w:p>
      <w:r>
        <w:rPr>
          <w:b/>
        </w:rPr>
        <w:t>E. 4.1</w:t>
      </w:r>
    </w:p>
    <w:p>
      <w:r>
        <w:t>Aux termes de l'art. 273 al. 1 CC (auquel renvoie l'art. 176 al. 3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III 209 consid. 5; arrêt du Tribunal fédéral 5A_245/2015 du 28 août 2015 consid. 3.1).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(ATF 117 II 353 consid. 3; arrêt 5A_245/2015 précité). Le rapport de l'enfant avec ses deux parents est essentiel et joue un rôle décisif dans le processus de sa recherche d'identité (ATF 130 III 585 consid. 2.2.2; arrêt du Tribunal fédéral 5A_173/2014 du 6 juin 2014 consid. 3.3).</w:t>
      </w:r>
    </w:p>
    <w:p>
      <w:r>
        <w:t>- 10/20 -</w:t>
      </w:r>
    </w:p>
    <w:p>
      <w:r>
        <w:t>C/6939/2013 L'importance et le mode d'exercice des relations personnelles doivent être appropriés à la situation, autrement dit tenir équitablement compte des circonstances particulières du cas (ATF 127 III 295 consid. 4a).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(ATF 138 III 193 consid. 4.3.1; arrêt du Tribunal fédéral 5A_795/2013 du 27 février 2014 consid. 5.1.2.). Le juge dispose d'un large pouvoir d'appréciation dans la fixation du droit de visite (ATF 127 III 295 consid. 4; ATF 122 III 404 = JdT 1998 I 46 consid. 3d).</w:t>
      </w:r>
    </w:p>
    <w:p>
      <w:r>
        <w:rPr>
          <w:b/>
        </w:rPr>
        <w:t>E. 4.2</w:t>
      </w:r>
    </w:p>
    <w:p>
      <w:r>
        <w:t>En l'espèce, l'expert nommé par le Tribunal a considéré que l'exercice du droit de visite par le père était essentiel pour le bon développement des enfants et ne les mettaient pas en danger. Il a toutefois estimé que ce droit de visite devait être limité à un week-end sur deux dès lors que les enfants avaient besoin de stabilité pour leur équilibre et qu'un planning régulier et prévisible était important. Ultérieurement à cette expertise, d'entente entre les parties, le père a partagé quelques repas de midi avec ses filles. Ces modalités, qui n'ont finalement pas été pérennisées, étaient en contradiction avec ce que préconisait l'expert. Les allégués de l'intimée, selon lesquels les enfants étaient perturbées à la suite de ces repas, sont vraisemblables, au vu des considérations de l'expert. Il n'y a ainsi pas lieu de s'écarter des conclusions de l'expert, qui a analysé en détail la situation en tenant compte de l'ensemble des circonstances, et dont le rapport n'est pas lacunaire et ne comporte aucune contradiction. Or, le droit de visite réclamé par le père – d'une nuit par semaine (mercredi) une semaine sur deux, et d'un midi (vendredi), les autres semaines – est contraire au besoin de stabilité des enfants retenu par l'expert. Par conséquent, le droit de visite de l'appelant devra continuer à s'exercer comme depuis décembre 2015, soit durant un week-end sur deux, du vendredi à la sortie de l'école, au lundi matin au retour à l'école, et pendant la moitié des vacances scolaires, ce à défaut d'accord contraire des parents. Le ch. 4 du dispositif du jugement querellé sera dès lors modifié en ce sens.</w:t>
      </w:r>
    </w:p>
    <w:p>
      <w:r>
        <w:t>- 11/20 -</w:t>
      </w:r>
    </w:p>
    <w:p>
      <w:r>
        <w:t>C/6939/2013</w:t>
      </w:r>
    </w:p>
    <w:p>
      <w:r>
        <w:rPr>
          <w:b/>
        </w:rPr>
        <w:t>E. 5</w:t>
      </w:r>
    </w:p>
    <w:p>
      <w:r>
        <w:t>Par ailleurs, demeurent litigieux le montant de la contribution à l'entretien des enfants et le dies a quo.</w:t>
      </w:r>
    </w:p>
    <w:p>
      <w:r>
        <w:t>5.1.1 En application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arrêt du Tribunal fédéral 5A_874/2015 du 2 mars 2016 consid. 4.1). Le juge peut ordonner que la contribution d'entretien soit augmentée ou réduite dès que des changements déterminés interviennent dans les besoins de l'enfant, les ressources des père et mère ou le coût de la vie (art. 286 al. 1 CC). La loi ne prescrit pas de méthode de calcul particulière pour arrêter la contribution d'entretien. Sa fixation relève de l'appréciation du juge, qui jouit d'un large pouvoir d'appréciation et applique les règles du droit et de l'équité (art. 4 CC; ATF 128 III 411 consid. 3.2.2; 127 OOO 136 consid. 3a; arrêt du Tribunal fédéral 5A_60/2016 du 20 avril 2016 consid. 3).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auquel sont ajoutées, en cas de situation favorable, les dépenses non strictement nécessaires, l'excédent est en règle générale réparti par moitié entre eux (ATF 121 I 97 consid. 3b; arrêt du Tribunal fédéral 5A_1029/2015 du 1er juin 2016 consid. 3.3.1.2). Cet excédent ne peut être réparti qu'entre les époux, et non également entre les enfants (arrêt du Tribunal fédéral 5A_621/2013 du 20 novembre 2014 consid. 3.4). 5.1.2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(ATF 137 III 118 consid. 3.1; arrêt du Tribunal fédéral 5A_836/2015 du 8 avril 2016 consid. 4.1.1).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w:t>
      </w:r>
    </w:p>
    <w:p>
      <w:r>
        <w:t>- 12/20 -</w:t>
      </w:r>
    </w:p>
    <w:p>
      <w:r>
        <w:t>C/6939/2013 personne à réaliser le revenu qu'elle est en mesure de se procurer et dont on peut raisonnablement exiger d'elle qu'elle l'obtienne afin de remplir ses obligations à l'égard du mineur (ATF 128 III 4 consid. 4a; arrêt du Tribunal fédéral 5A_836/2015 précité).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5A_196/2013 du 25 septembre 2013 consid. 5.1).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arrêt du Tribunal fédéral du 26 avril 2016 consid. 4.6).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5.1.3 Selon la méthode du minimum vital, les charges d'un enfant, tout comme celles de ses parents, comprennent un montant de base selon les normes d'insaisissabilité – qui couvre forfaitairement les dépenses de nourriture, vêtements, hygiène, santé, électricité, gaz pour la cuisine, téléphone, culture et raccord à la télévision câblée – une participation aux frais du logement, y compris les charges, la prime d'assurance-maladie de base obligatoire, les frais de transports publics et d'autres frais effectifs et les frais de garde des enfants pendant le travail (art. 93 LP; Normes d'insaisissabilité pour l'année 2016, ch. I et II (NI-2016, RS E 3 60.04); ATF 126 III 353 consid. 1a/aa = JdT 2002 I 162; OCHSNER, Le minimum vital (art. 93 al. 1 LP), in SJ 2012 II p. 119 ss; BASTONS BULLETTI, L'entretien après divorce : méthode de calcul, montant, durée et limites, in SJ 2007 II p. 77 ss).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5A_991/2014 du 27 mai 2015 consid. 4.2; 5A_533/2010 du 24 novembre 2010 consid. 2.1). Pour ce faire, il est possible de prendre en considération 30% du loyer raisonnable pour deux enfants (BASTONS BULLETTI, op. cit., p. 85 et 102). Lorsqu'il est fait application de la méthode dite du minimum vital, les frais de véhicule ne peuvent être pris en considération que si celui-ci est indispensable au</w:t>
      </w:r>
    </w:p>
    <w:p>
      <w:r>
        <w:t>- 13/20 -</w:t>
      </w:r>
    </w:p>
    <w:p>
      <w:r>
        <w:t>C/6939/2013 débiteur personnellement, par exemple en cas d'invalidité, ou nécessaire à l'exercice de la profession (arrêts du Tribunal fédéral 5A_100/2012 du 30 août 2012 consid. 5.1; 5A_46/2009 du 22 mai 2009 consid. 6.3). Si les ressources du couple dépassent le minimum vital du droit des poursuites, on tient compte aussi des dépenses non strictement nécessaires, à savoir notamment les primes d'assurances non obligatoires (RC privée, ménage, complémentaires d'assurance-maladie), les impôts, les versements qui constituent de l'épargne, ainsi les cotisations au 3ème pilier ou à une assurance-vie (CHAIX, Commentaire Romand, Code civil I, n. 9 ad art. 176 CC; BASTONS BULLETTI, op. cit., p. 90 et 91). La prise en considération des impôts courants et échus dans le minimum vital du droit des poursuites du débirentier est arbitraire (ATF 140 II 337 consid. 4.2 = JdT 2015 II 227).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convient de déduire des besoins de chaque enfant crédirentier ses propres allocations familiales (arrêt du Tribunal fédéral 5A_892/2013 du 29 juillet 2014 consid. 4.4.3). 5.1.4 Les besoins des enfants doivent être répartis entre les père et mère en fonction de leurs capacités contributives respectives. Celui des parents dont la capacité financière est supérieure peut par ailleurs être tenu, suivant les circonstances, de subvenir à l'entier du besoin en argent si l'autre remplit son obligation à l'égard de l'enfant essentiellement en nature (ATF 120 II 285 consid. 3a/cc; arrêt du Tribunal fédéral 5A_777/2014 du 4 mars 2015 consid. 4.1). Le minimum vital du débirentier doit être préservé (ATF 135 III 66 consid. 2 ss, in JdT 2010 I p. 167). 5.2.1 En l'espèce, les parties ne remettent, à juste titre, pas en cause la méthode du minimum vital appliquée par le premier juge. Cette méthode permet en effet de tenir adéquatement compte du niveau de vie antérieur des époux et des restrictions à celui-ci qui peuvent être imposées à chacune des parties. Il convient dès lors d'évaluer les ressources des époux et de calculer leurs charges. 5.2.2 Pour 2013 et 2014, les charges mensuelles de chacune des enfants étaient de l'ordre de 710 fr., hors allocations familiales, soit la prime d'assurance-maladie de base et complémentaire (110 fr. en moyenne), les frais de cuisines scolaires (environ 100 fr.), les frais parascolaires (100 fr.) et leur entretien de base selon les normes OP (400 fr.); soit 410 fr. allocations familiales (300 fr.) déduites. Dès lors que pendant ces années les enfants ont passé de nombreuses nuits chez leur père, qui s'occupait d'elles environ un tiers du temps, il n'y a pas lieu d'inclure une</w:t>
      </w:r>
    </w:p>
    <w:p>
      <w:r>
        <w:t>- 14/20 -</w:t>
      </w:r>
    </w:p>
    <w:p>
      <w:r>
        <w:t>C/6939/2013 participation au loyer dans leurs charges, que ce soit celui de leur mère ou de leur père. Par ailleurs, les frais d'assurance-accident, la cotisation à l'FSMO et les frais d'activités extra-scolaires ne constituent pas des charges incompressibles. Dès 2015, la garde des enfants a été exclusivement attribuée à leur mère. Leurs charges doivent donc inclure une participation au loyer de celle-ci, soit 228 fr. (15% du loyer), les portant ainsi à 638 fr., allocations familiales déduites. Depuis octobre 2015, l'entretien de base selon les normes OP de C______ est de 600 fr., de sorte que ses charges sont d'environ 838 fr. Celui de D______ augmentera au mois de juin 2018. 5.2.3 L'appelant a réalisé un salaire mensuel net moyen de 4'864 fr. en 2013, étant relevé qu'il a été incapable de travailler pendant plusieurs jours cette année, de 5'469 fr. en 2014 et de 7'472 fr. en 2015, auquel il convient d'ajouter les revenus locatifs de 499 fr. 50 par mois en moyenne en 2013, de 729 fr. en 2014 et qui ont vraisemblablement été de 708 fr. en 2015 (850 fr. x 10 / 12) dès lors que l'appelant a admis louer ce bien dix mois par an. Par conséquent, les revenus mensuels nets moyens de l'appelant ont été de 5'363 fr. en 2013, 6'198 fr. en 2014 et 8'180 fr. en 2015. L'appelant travaille en qualité d'indépendant depuis plus de 10 ans (ayant commencé pratiquement simultanément à la naissance du premier enfant), et l'intimée n'a pas rendu vraisemblable qu'elle y était opposée du temps de la vie commune. Dès lors, on ne saurait imputer un revenu hypothétique à l'appelant, ni avec effet rétroactif, ni pour l'avenir. Les revenus de l'appelant sont fluctuants dès lors qu'il travaille pour différents employeurs et que son temps de travail pour chacun d'eux change d'année en année. L'année 2013 est atypique puisque l'appelant a été temporairement empêché de travailler. Il en va de même pour l'année 2015 puisque l'appelant a bénéficié d'un mandat exceptionnel d'une année pour le G______, mandat qui lui a rapporté un revenu supplémentaire d'environ 22'000 fr. pour l'année, soit 1'830 fr. par mois. Dès lors, compte tenu des revenus de l'appelant en 2014 et 2015, sans mandat exceptionnel, il est vraisemblable qu'à l'avenir ses revenus mensuels s'élèveront à environ 5'700 fr. net ((5'469 fr. + 7'472 fr. – 1'830 fr.) / 2). L'appelant est également en mesure de percevoir un revenu locatif de 1'000 fr. par mois – montant que l'appelant a lui-même fixé dans les annonces immobilières et qui est conforme au prix du marché à Genève – sur douze mois puisqu'il n'a loué ce bien que pendant quelques mois chaque année par pure convenance, comme cela ressort des annonces qu'il a passées. L'appelant n'a pas rendu vraisemblable les charges d'annonce et d'impôts engendrés par la valeur locative pour le studio, de sorte qu'il n'en est pas tenu compte.</w:t>
      </w:r>
    </w:p>
    <w:p>
      <w:r>
        <w:t>- 15/20 -</w:t>
      </w:r>
    </w:p>
    <w:p>
      <w:r>
        <w:t>C/6939/2013 Par conséquent, c'est un revenu mensuel de 6'700 fr. net que l'appelant est en mesure de réaliser. 5.2.4 En 2013 et 2014, les charges admissibles de l'appelant s'élevaient à 3'802 fr. par mois comprenant les intérêts hypothécaires (1'360 fr. en moyenne sur 2013 et 2014), les charges et frais de copropriété (604 fr. en moyenne sur 2012 et 2013), les primes d'assurance-maladie de base et complémentaire (368 fr.), les frais médicaux non couverts (50 fr.), les frais de transport (70 fr.) et son entretien de base selon les normes OP (1'350 fr.). Elles étaient de 3'728 fr. par mois en 2015, la prime d'assurance-maladie de l'appelant ayant augmenté à 444 fr., et sont de 3'764 fr. en 2016, cette même prime étant de 480 fr., mais son entretien de base selon les normes OP est de 1'200 fr. dès lors qu'il ne reçoit plus ses enfants qu'un week-end sur deux. Les frais de déplacement sont limités à un abonnement mensuel TPG car l'appelant n'a pas rendu vraisemblable avoir besoin de son véhicule tant professionnellement – n'ayant pas démontré quels étaient ses lieux de travail et que ceux-ci ne seraient pas desservis par les TPG – qu'à titre personnel. Les primes d'assurance-vie et d'assurance-ménage ne constituent pas des charges incompressibles et le disponible de l'appelant étant réduit il ne sera pas tenu compte de sa charge d'impôt avant contribution d'entretien. 5.2.5 Au vu de ce qui précède, l'appelant disposait d'une capacité contributive mensuelle de 1'561 fr. (5'363 fr. – 3'802 fr.) en 2013, 2'396 fr. (6'198 fr. – 3'802 fr.) en 2014 et de 4'452 fr. (8'180 fr. - 3'728 fr.) en 2015. Elle est de 2'936 fr. (6'700 fr. - 3'764 fr.) depuis le 1er janvier 2016. 5.2.6 L'intimée a réalisé un salaire mensuel net moyen de 5'308 fr. en 2013 et de 5'118 fr. en 2014 et 2015. Les deux enfants étant âgées de moins de 16 ans, il ne peut être exigé de l'intimée qu'elle augmente actuellement son temps de travail et l'appelant n'a pas rendu vraisemblable qu'elle percevrait une rémunération pour une activité parallèle de garde d'enfant. 5.2.7 En 2013 et 2014, les charges admissibles de l'intimée s'élevaient à 3'284 fr. par mois comprenant le loyer, charges comprises (1'444 fr.), les primes d'assurance-maladie de base et complémentaire (420 fr. en moyenne), les frais de transport (70 fr.) et son entretien de base selon les normes OP (1'350 fr.). Elles sont de 2'882 fr. par mois depuis 2015, dès lors que 30% de son loyer (1'489 fr.) est mis à la charge des enfants.</w:t>
      </w:r>
    </w:p>
    <w:p>
      <w:r>
        <w:t>- 16/20 -</w:t>
      </w:r>
    </w:p>
    <w:p>
      <w:r>
        <w:t>C/6939/2013 Comme pour l'époux, il ne sera pas tenu compte des frais d'assurance-vie, de véhicule, d'assurance-ménage et des acomptes d'impôts. 5.2.8 Au vu de ce qui précède, l'intimée disposait d'une capacité contributive mensuelle de 2'024 fr. (5'308 fr. – 3'284 fr.) en 2013, 1'834 fr. (5'118 fr. – 3'284 fr.) en 2014 et 2'236 fr. (5'118 fr. – 2'882 fr.) dès 2015. 5.3.1 Les parents ont exercé une garde alternée à raison de deux tiers pour la mère et un tiers pour le père depuis la séparation fin janvier 2013 jusqu'au prononcé des mesures superprovisionnelles en décembre 2014. Durant cette période, la capacité contributive des parents était comparable (1'561 fr. en 2013 et fr. 2'396 fr. en 2014, soit 1'978 fr. en moyenne, pour l'appelant; 2'024 fr. en 2013 et 1'834 fr. en 2014, soit 1929 fr. en moyenne, pour l'intimée). L'intimée ayant consacré plus de temps aux soins des enfants, il se justifie de mettre les deux tiers des charges des enfants à la charge de l'appelant (474 fr., soit 2/3 de 710 fr.) tout en le faisant bénéficier d'un tiers des allocations familiales (100 fr). Cette contribution ne porte pas atteinte au minimum vital de l'appelant dès lors qu'elle lui laisse un solde mensuel de 613 fr. (1'561 fr. en 2013 – 2 x 474 fr.) en 2013 et de 1'448 fr. (2'396 fr. - 2 x 474 fr.) en 2014. C'est donc une contribution de 11'376 fr. (474 x 24 mois) à l'entretien de chacun des enfants qui est due par l'appelant pour la période du 1er janvier 2013 au 31 décembre 2014. Au vu des concordances des dates et des montants entre les sommes débitées du compte postal des époux – dont il n'est pas contesté qu'il a été exclusivement financé par l'appelant et les allocations familiales – et les factures de primes d'assurance-maladie, de cuisines scolaires et de frais parascolaires, l'appelant a rendu vraisemblable s'être acquitté des frais des enfants à hauteur de 4'282 fr. 10 (soit 102 fr. et 119 fr. le 11 mars; 2 x 93 fr. 50, 2 x 127 fr. 50, 360 fr. et 368 fr. le</w:t>
      </w:r>
    </w:p>
    <w:p>
      <w:r>
        <w:rPr>
          <w:b/>
        </w:rPr>
        <w:t>E. 10</w:t>
      </w:r>
    </w:p>
    <w:p>
      <w:r>
        <w:t>mai; 136 fr. et 127 fr. 50 le 27 juin; 2 x 110 fr. 50 et 2 x 312 fr. le 22 juillet; 2 x 110 fr. 50 le 6 décembre; 2 x 144 fr. 50 le 23 décembre 2013 et 636 fr. 30 le</w:t>
      </w:r>
    </w:p>
    <w:p>
      <w:r>
        <w:rPr>
          <w:b/>
        </w:rPr>
        <w:t>E. 11</w:t>
      </w:r>
    </w:p>
    <w:p>
      <w:r>
        <w:t>mars; 212 fr. 10 le 16 septembre; 212 fr. 10 le 15 octobre et 212 fr. 10 le</w:t>
      </w:r>
    </w:p>
    <w:p>
      <w:r>
        <w:rPr>
          <w:b/>
        </w:rPr>
        <w:t>E. 15</w:t>
      </w:r>
    </w:p>
    <w:p>
      <w:r>
        <w:t>novembre 2013). Par ailleurs, l'appelant était en droit de conserver les allocations familiales à hauteur de 2'400 fr. (100 fr. x 24 mois). Or, il a conservé ces allocations de janvier à octobre 2013, soit 6'000 fr. (2 x 300 fr. x 10 mois), de sorte qu'il doit restituer 3'600 fr. (6'000 fr. – 2'400 fr.) à la mère à ce titre. Par conséquent, l'appelant sera condamné à verser la somme de 22'070 fr. ((2 x 11'376 fr.) – 4'282 fr. + 3'600 fr.) au titre de contribution à l'entretien de ses deux enfants, allocations familiales comprises, pour la période du 1er janvier 2013 au 31 décembre 2014.</w:t>
      </w:r>
    </w:p>
    <w:p>
      <w:r>
        <w:t>- 17/20 -</w:t>
      </w:r>
    </w:p>
    <w:p>
      <w:r>
        <w:t>C/6939/2013 5.3.2 Dès 2015, l'intimée a pris en charge les enfants de manière prépondérante et la capacité contributive de l'appelant était plus importante (4'452 fr. en 2015 et 2'936 fr. à l'avenir) que celle de l'intimée (2'236 fr.). Par conséquent, l'ensemble des charges des enfants seront mises à la charge de l'appelant, les allocations familiales revenant dans leur intégralité à l'intimée. Cette contribution ne porte pas atteinte au minimum vital de l'appelant dès lors qu'elle lui laissera un solde mensuel de 2'976 fr. (4'452 fr. – 638 fr. – 838 fr.) en 2015 et de 1'460 fr. (2'936 fr. – 638 fr. – 838 fr.) en 2016. L'appelant n'ayant pas prouvé s'être acquitté d'une partie des charges incompressibles des enfants en 2015 et jusqu'au 30 avril 2016, c'est une somme de 21'816 fr. (638 fr. x 16 mois pour D______ + 638 fr. x 9 mois et 838 fr. x 7 mois pour C______) qu'il sera condamné à verser à leur entretien pour cette période. 5.3.3 Dès le 1er mai 2016, l'appelant sera condamné à verser, par mois et d'avance, allocations familiales non comprises, 638 fr., arrondi à 640 fr. à l'entretien de D______ jusqu'au 31 mai 2018, puis 840 fr. dès le 1er juin 2018 afin de tenir compte de l'augmentation de son entretien de base selon les normes OP à 600 fr. par mois. Cette contribution ne porte pas atteinte au minimum vital de l'appelant dès lors qu'elle lui laissera un solde mensuel de 1'260 fr. (2'936 fr. – 2 x 838 fr.). 6. 6.1 Le juge peut contraindre les parents à verser une contribution spéciale lorsque des besoins extraordinaires imprévus de l'enfant le requièrent (art. 286 al. 3 CC). Cet article, relatif à la survenance de besoins extraordinaires imprévus,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(arrêts du Tribunal fédéral 5A_210/2008 du 14 novembre 2008 consid. 5.4, non publié aux ATF 135 III 158; 5C.180/2002 du 20 décembre 2002 consid. 6). 6.2 L'appelant ne conteste pas devoir prendre en charge la moitié des frais extraordinaires liés aux enfants, mais souhaite que ceux-ci fassent l'objet d'un accord préalable entre les parties. Dès lors que les frais extraordinaires se rapportent à des frais nécessaires pour faire face aux besoins de l'enfant et qui ne trouvent pas leur place dans le calcul de la contribution d'entretien uniquement parce qu'ils sont ponctuels, l'appelant ne saurait s'opposer à leur prise en charge.</w:t>
      </w:r>
    </w:p>
    <w:p>
      <w:r>
        <w:t>- 18/20 -</w:t>
      </w:r>
    </w:p>
    <w:p>
      <w:r>
        <w:t>C/6939/2013 Par conséquent, le chiffre 10 du dispositif du jugement ne sera pas modifié. Cela étant, d'accord entre les parties, l'appelant peut s'engager à couvrir d'autres frais, non nécessaires, qui n'entrent pas dans le champ de l'art. 286 al. 3 CC. 7. 7.1 Lorsque la Cour réforme en tout ou en partie le jugement entrepris, elle se prononce aussi sur les frais de première instance (art. 318 al. 3 CPC). Dès lors que les frais et dépens de première instance ont été arrêtés conformément aux règles légales (art. 95, 96, 104 al. 1 CPC; art. 5 et 31 du Règlement fixant le tarif des greffes en matière civile, RTFMC - RS/GE E 1 05.10) et qu'ils ne sont pas contestés par les parties, le jugement entrepris sera confirmé sur ce point. 7.2 Les frais judiciaires d'appel seront fixés à 1'600 fr. (art. 96, 104 al. 1, 105 et 106 CPC; art. 31 et 37 RTFMC) et mis à charge des parties par moitié, vu qu'aucune n'obtient entièrement gain de cause. Ils seront compensés avec l'avance de frais de 800 fr. fournie par l'appelant, qui reste acquise à l'Etat (art. 111 al. 1 CPC). L'intimée sera condamnée à verser 800 fr. à l'Etat au titre de frais judiciaires d'appel. Pour des motifs d'équité liés à la nature du litige, les parties conserveront leurs propres dépens à leur charge (art. 107 al. 1 let. c CPC). 8. L'arrêt de la Cour, statuant sur mesures protectrices de l'union conjugale, est susceptible d'un recours en matière civile, les moyens étant limités en application de l'art. 98 LTF. La valeur litigieuse est supérieure à 30'000 fr. (art. 51 al. 4 LTF). * * * * * *</w:t>
      </w:r>
    </w:p>
    <w:p>
      <w:r>
        <w:t>- 19/20 -</w:t>
      </w:r>
    </w:p>
    <w:p>
      <w:r>
        <w:t>C/6939/2013 PAR CES MOTIFS, La Chambre civile : A la forme : Déclare recevable l'appel interjeté le 22 février 2016 par A______ contre les chiffres 3, 4, 8 et 10 du dispositif du jugement JTPI/1726/2016 rendu le 8 février 2016 par le Tribunal de première instance dans la cause C/6939/2013. Déclare irrecevable l'appel joint formé le 29 mars 2016 par B______. Au fond : Annule les chiffres 4 et 8 du dispositif de ce jugement, et cela fait, statuant à nouveau sur ces deux points : Réserve à A______ un droit de visite sur ses filles C______ et D______ devant s'exercer, à défaut d'accord contraire des parties, à raison d'un week-end sur deux, du vendredi à la sortie de l'école au lundi matin au début de l'école, ainsi que durant la moitié des vacances scolaires, le passage des enfants devant se faire à l'école. Condamne A______ à verser en mains de B______ la somme totale de 43'886 fr. au titre de contribution à l'entretien des enfants C______ et D______ pour la période du 1er janvier 2013 au 31 avril 2016. Condamne A______ à verser en mains de B______, par mois et d'avance, allocations familiales non comprises, la somme de 840 fr., à compter du 1er mai 2016 au titre de contribution à l'entretien de C______. Condamne A______ à verser en mains de B______, par mois et d'avance, allocations familiales non comprises, au titre de contribution à l'entretien de D______, le montant de 640 fr. du 1er mai 2016 au 31 mai 2018, puis de 840 fr. dès le 1er juin 2018. Confirme le jugement attaqué pour le surplus. Déboute les parties de toutes autres conclusions. Sur les frais : Arrête les frais judiciaires d'appel à 1'600 fr., les met à la charge de chacune des parties pour moitié et les compense avec l'avance de frais de 800 fr. fournie par A______, qui reste acquise à l'Etat de Genève.</w:t>
      </w:r>
    </w:p>
    <w:p>
      <w:r>
        <w:t>- 20/20 -</w:t>
      </w:r>
    </w:p>
    <w:p>
      <w:r>
        <w:t>C/6939/2013 Condamne B______ à verser 800 fr. à l'Etat de Genève à titre de frais judiciaires d'appel. Dit que chaque partie supporte ses propres dépens d'appel. Siégeant : Madame Florence KRAUSKOPF, présidente; Monsieur Ivo BUETTI, Madame Ursula ZEHETBAUER GHAVAMI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