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ACJC/963/2013 vom 14. September 2012</w:t>
      </w:r>
    </w:p>
    <w:p>
      <w:r>
        <w:t>GE Cour de justice, 2012-09-14, FR</w:t>
      </w:r>
    </w:p>
    <w:p>
      <w:r>
        <w:rPr>
          <w:b/>
        </w:rPr>
        <w:t xml:space="preserve">Quelle: </w:t>
      </w:r>
      <w:r>
        <w:t>https://mcp.opencaselaw.ch/entscheid/ge_gerichte_ACJC_963_2013</w:t>
      </w:r>
    </w:p>
    <w:p>
      <w:r>
        <w:t>FR: GE_GERICHTE ACJC/963/2013 du 14 septembre 2012</w:t>
      </w:r>
    </w:p>
    <w:p>
      <w:r>
        <w:t>IT: GE_GERICHTE ACJC/963/2013 del 14 settembre 2012</w:t>
      </w:r>
    </w:p>
    <w:p>
      <w:pPr>
        <w:pStyle w:val="Heading2"/>
      </w:pPr>
      <w:r>
        <w:t>Erwägungen</w:t>
      </w:r>
    </w:p>
    <w:p>
      <w:r>
        <w:rPr>
          <w:b/>
        </w:rPr>
        <w:t>E. 1.1</w:t>
      </w:r>
    </w:p>
    <w:p>
      <w:r>
        <w:t>L'appel est recevable contre les décisions finales et les décisions incidentes de première instance (art. 308 al. 1 let. a CPC), sous réserve des exceptions prévues à l'art. 309 CPC. Dans les affaires patrimoniales, l'appel est recevable si la valeur</w:t>
      </w:r>
    </w:p>
    <w:p>
      <w:r>
        <w:t>- 7/14 -</w:t>
      </w:r>
    </w:p>
    <w:p>
      <w:r>
        <w:t>C/7600/2011 litigieuse au dernier état des conclusions est de 10'000 fr. au moins (art. 308 al. 2 CPC). Les contestations portant sur l'usage d'une chose louée sont de nature pécuniaire (arrêt du Tribunal fédéral 4C.310/1996 du 16 avril 1997, publié in SJ 1997 p. 493, consid. 1), de sorte que l'exigence de la valeur litigieuse trouve application in casu. En l'espèce, vu le loyer annuel, charges comprises, de 17'172 fr. et attendu que la valeur litigieuse se détermine en additionnant les loyers durant la période pendant laquelle le contrat subsisterait nécessairement si le congé n'était pas valable, en tenant compte du délai de protection de trois ans conféré par l'art. 271a al. 1 let. e CO (arrêts du Tribunal fédéral 111 II 384 et 119 II 147), celle-ci est largement supérieure à 10'000 fr.</w:t>
      </w:r>
    </w:p>
    <w:p>
      <w:r>
        <w:rPr>
          <w:b/>
        </w:rPr>
        <w:t>E. 1.2</w:t>
      </w:r>
    </w:p>
    <w:p>
      <w:r>
        <w:t>En vertu de l'art. 311 al. 1 CPC, l'appel, écrit et motivé, est introduit auprès de l'instance d'appel dans les 30 jours à compter de la notification de la décision mo- tivée ou de la notification postérieure de la motivation. Il peut être formé pour violation de la loi (art. 310 let. a CPC) ou constatation inexacte des faits (310 let. b CPC). S'agissant du délai d'appel, il a manifestement été respecté. En effet, l'art. 138 al. 3 let. a CPC prévoit que l'acte (notamment une décision de justice) est réputé noti- fié, en cas d'envoi recommandé, lorsque celui-ci n'a pas été retiré, à l'expiration d'un délai de sept jours à compter de l'échec de la remise, si le destinataire devait s'attendre à recevoir la notification. En l'espèce, le conseil des appelants n'a pas pu être atteint le jour de la notification du jugement par le facteur (le jeudi 20 septembre 2012), de sorte que le délai de garde de sept jours (sans prise en considération de la prolongation de délai accor- dée par la poste in casu) est arrivé à échéance le jeudi 27 septembre 2012. Il en découle que le délai d'appel de trente jours arrivait à échéance le samedi 27 octobre 2012, si bien qu’en vertu de l'art. 142 al. 3 CPC relatif à la computation des délais, il a été reporté au lundi 29 octobre 2012, date à laquelle l'appel a effectivement été déposé. Les autres conditions de recevabilité rappelées ci-dessus sont par ailleurs mani- festement réunies. Dès lors, l'appel est recevable.</w:t>
      </w:r>
    </w:p>
    <w:p>
      <w:r>
        <w:rPr>
          <w:b/>
        </w:rPr>
        <w:t>E. 2</w:t>
      </w:r>
    </w:p>
    <w:p>
      <w:r>
        <w:t>Saisie d'un appel, la Cour de justice revoit la cause avec un pouvoir de cognition complet, c'est-à-dire tant en fait qu'en droit. Elle n'est nullement liée par l'appré- ciation des faits à laquelle s'est livré le juge de première instance (JEANDIN, in</w:t>
      </w:r>
    </w:p>
    <w:p>
      <w:r>
        <w:t>- 8/14 -</w:t>
      </w:r>
    </w:p>
    <w:p>
      <w:r>
        <w:t>C/7600/2011 CPC, Code de procédure civile commenté, BOHNET/HALDY/JEANDIN/SCHWEIZER/ TAPPY, n° 6 ad art. 310 CPC).</w:t>
      </w:r>
    </w:p>
    <w:p>
      <w:r>
        <w:rPr>
          <w:b/>
        </w:rPr>
        <w:t>E. 3</w:t>
      </w:r>
    </w:p>
    <w:p>
      <w:r>
        <w:t>En vertu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Dans un arrêt récent (arrêt du Tribunal fédéral 4A_228/2012), le Tribunal fédéral a retenu que la rigueur des conditions de cette disposition ne saurait être atténuée à l'égard de la partie négligente, même lorsque la procédure est gouvernée par la maxime inquisitoire (art. 55 al. 2 CPC) et/ou par la maxime d'office (art. 58 al. 2 CPC). Au vu des conditions rappelées ci-dessus, étant donné qu'elles constituent de faux novas, puisqu'elles auraient pu être produites en première instance, avant la clôtu- re des débats principaux (art. 229 CPC), les pièces nouvelles produites par les ap- pelants sous nos14, 16, 19, 20 et 21, de même que les faits qu'elles sont censées étayer, sont irrecevables. Les pièces nouvelles produites par l'intimée, postérieures au jugement entrepris, sont en revanche recevables. La réplique spontanée des appelants, adressée à la Cour de céans dans un délai de trente jours à compter de la réception du mémoire de réponse de leur partie adver- se, en conformité avec la jurisprudence du Tribunal fédéral en la matière (arrêts du Tribunal fédéral 5A_777/2011, 133 I 100 et 4A_648/2011), est recevable. Il en va de même de la duplique spontanée de l'intimée. Tel n'est en revanche pas le cas de la nouvelle détermination des appelants, dans leur courrier adressé à la Cour de céans le 21 janvier 2013. Pour ce qui concerne les pièces nouvelles produites par les appelants en annexe de leurs deux lettres du 27 décembre 2012 (réplique), la Cour retiendra qu'elles sont recevables, puisqu'elles portent sur des faits postérieurs à la clôture des débats principaux devant les premiers juges.</w:t>
      </w:r>
    </w:p>
    <w:p>
      <w:r>
        <w:rPr>
          <w:b/>
        </w:rPr>
        <w:t>E. 4</w:t>
      </w:r>
    </w:p>
    <w:p>
      <w:r>
        <w:t>Les appelants sollicitent, sans pour autant prendre de conclusion formelle dans ce sens, mais par le dépôt d'une liste de témoins simultanément à leur acte d'appel, que l'audition de deux témoins - dont la sous-locataire déjà entendue par les pre- miers juges - soit ordonnée devant la Cour de céans. Ils n'exposent cependant pas en quoi cet acte d'instruction serait nécessaire. En vertu de l'art. 316 CPC, l'instance d'appel peut ordonner des débats ou statuer sur pièces (al. 1), de même qu'elle peut ordonner un deuxième échange d’écritures (al. 2) ou administrer des preuves (al. 3).</w:t>
      </w:r>
    </w:p>
    <w:p>
      <w:r>
        <w:t>- 9/14 -</w:t>
      </w:r>
    </w:p>
    <w:p>
      <w:r>
        <w:t>C/7600/2011 Lorsque l'affaire est en état d'être jugée à l'issue des échanges d'écritures préa- lables, la Cour statuera sur pièces (CPC - JEANDIN, op. cit., art. 316, n. 3). En l'espèce, la Cour retiendra, au vu des écritures et des pièces produites, qu'il ne se justifie pas de procéder à de nouvelles mesures d'instructions, lesquelles ne pourraient influer sur le résultat de la procédure.</w:t>
      </w:r>
    </w:p>
    <w:p>
      <w:r>
        <w:rPr>
          <w:b/>
        </w:rPr>
        <w:t>E. 5</w:t>
      </w:r>
    </w:p>
    <w:p>
      <w:r>
        <w:t>Les parties ne remettent pas en question, en appel, la recevabilité de la requête ini- tiale des appelants, signée par un seul d'entre eux. Cette question doit cependant être examinée d'office par le juge (art. 60 CPC). En l'occurrence, c'est à juste titre que le Tribunal des baux et loyers a considéré la requête signée par le seul appelant - pour son compte et celui de sa colocataire – recevable, tant il est vrai qu'il était au bénéfice d’une procuration de celle-ci, l'autorisant à entreprendre et à signer en son nom toute action, d'une part, en vue de la résolution du litige alors déjà en cours (défauts de la chose louée), et d'autre part, en vue «de la préservation de [leurs] droits en [leur] qualité de loca- taire[s]», ce qui doit être interprété comme un pouvoir de représentation plus général, dans le cadre de la défense de leur contrat de bail commun. Il résulte par ailleurs de l'art. 68 al. 1 CPC que toute personne capable d'ester en justice peut se faire représenter au procès, notamment par une personne de con- fiance, qui n'interviendrait donc pas à titre professionnel (BOHNET, Le droit du bail en procédure civile suisse in 16e Séminaire sur le droit du bail, Neuchâtel 2010, p. 12). Il ne fait aucun doute en l'espèce que l'appelant fait partie du cercle des personnes de confiance de l'appelante, et n'a donc pas agi à titre professionnel, puisque tous deux sont colocataires et ont habité ensemble le logement litigieux plusieurs années durant. Ainsi, l'appelant a signé la requête de contestation de congé pour le compte de l'appelante en qualité de représentant, au sens des art. 32 CO et 68 al. 1 CPC. De surcroît, l'appelante a, par la suite - à savoir devant le Tribunal des baux et loyers -, ratifié la procédure introduite par son colocataire en leurs deux noms (art. 38 CO), étant précisé qu'on ne saurait considérer ladite ratification comme tardive, puisque l'inefficacité d'un congé peut être soulevée en tout temps, sauf abus manifeste de droit (LACHAT, Le bail à loyer, 2008, p. 729). Au demeurant, le Tribunal fédéral a déjà eu l'occasion de relever que ce serait faire preuve de for- malisme excessif que de refuser d'entrer en matière sur une contestation de congé, au motif que la ratification du colocataire intervient postérieurement à l'échéance du délai de contestation (arrêt du Tribunal fédéral 4C.236/2003). Enfin, il ne saurait évidemment être reproché aux appelants le fait que le greffe de la Commission de conciliation ait omis de convoquer l'appelante, considérant - à tort - que seul l'appelant était requérant.</w:t>
      </w:r>
    </w:p>
    <w:p>
      <w:r>
        <w:t>- 10/14 -</w:t>
      </w:r>
    </w:p>
    <w:p>
      <w:r>
        <w:t>C/7600/2011</w:t>
      </w:r>
    </w:p>
    <w:p>
      <w:r>
        <w:rPr>
          <w:b/>
        </w:rPr>
        <w:t>E. 6.1</w:t>
      </w:r>
    </w:p>
    <w:p>
      <w:r>
        <w:t>En vertu de l'art. 257f al. 3 CO, le bailleur peut résilier le bail de manière anti- cipée lorsque le maintien du contrat est devenu insupportable pour lui ou les per- sonnes habitant la maison parce que le locataire, nonobstant une protestation écrite du bailleur, persiste à enfreindre son devoir de diligence ou à manquer d'égards envers les voisins. L'examen de la validité d'un congé doit être effectué au moment où celui-ci a été notifié et non ultérieurement (arrêt du Tribunal fédéral du 4 juin 1998 in SJ 1999 p. 26 consid. 2c). La jurisprudence a par ailleurs déjà eu l'occasion de préciser que le libellé de cette disposition légale est trop restrictif et que le congé extraordinaire prévu par l'art. 257f al. 3 CO s'applique dans tous les cas où le locataire use de la chose en violation de la loi ou des stipulations du contrat (arrêt du Tribunal fédéral 132 III 109 consid. 5 p. 113; 123 III 124 consid. 2a p. 126). Pour être valable, le congé anticipé doit ainsi respecter des conditions formelles et matérielles cumulatives, et notamment être précédé d'un avertissement écrit du bailleur. Ledit avertissement doit accorder au locataire un délai suffisant pour lui permettre de remédier au problème. S'agissant de l'obligation de mettre fin à une sous- location illicite, elle peut être exigée dans un délai d'un mois, en ce sens que durant ce laps de temps le locataire devra établir avoir entamé les démarches nécessaires à obtenir le départ des sous-locataires, notamment par la notification d'une résiliation du bail de sous-location (LACHAT, op. cit., p. 575 et références citées). L'art. 262 CO prévoit que le locataire peut sous-louer tout ou partie de la chose avec le consentement du bailleur (al. 1). Le bailleur ne peut refuser son consen- tement que si le locataire refuse de lui communiquer les conditions de la sous- location (al. 2 let. a), si ces conditions, comparées à celles du contrat de bail prin- cipal, sont abusives (al. 2 let. b) ou si la sous-location présente pour le bailleur des inconvénients majeurs (al. 2 let. c). L'omission de solliciter préalablement le consentement écrit du bailleur n'a pas d'incidence sur la validité de la sous-location. Elle ne saurait justifier, à elle seule, la résiliation du bail (arrêt du Tribunal fédéral 4A_217/2007), faute de quoi le congé serait purement formaliste et ne reposerait sur aucun intérêt légitime (arrêt du Tribunal fédéral 4A_367/2010). En revanche, le refus du locataire de commu- niquer les conditions de la sous-location, le fait pour lui de passer outre à un refus justifié du bailleur de consentir à la sous-location (si les conditions de la sous- location, comparées à celles du contrat de bail principal sont abusives, ou si la sous-location présente pour le bailleur des inconvénients majeurs), de même que lorsqu'un examen rétrospectif des faits démontre que le bailleur aurait valablement</w:t>
      </w:r>
    </w:p>
    <w:p>
      <w:r>
        <w:t>- 11/14 -</w:t>
      </w:r>
    </w:p>
    <w:p>
      <w:r>
        <w:t>C/7600/2011 pu s'y opposer si son accord avait été requis, justifie un congé extraordinaire fondé sur l'art. 257f al. 3 CO. Outre les cas énumérés à l'art. 262 al. 2 CO; il faut encore ajouter le cas où le locataire abuse de son droit à la sous-location au sens de l'art. 2 CC, parce que, dans ce cas de figure, le droit à la sous-location n'est pas protégé et qu'il faut rai- sonner comme s'il n'existait pas (cf. arrêts du Tribunal fédéral 4C.199/1994 du</w:t>
      </w:r>
    </w:p>
    <w:p>
      <w:r>
        <w:rPr>
          <w:b/>
        </w:rPr>
        <w:t>E. 6.2</w:t>
      </w:r>
    </w:p>
    <w:p>
      <w:r>
        <w:t>En l'espèce, la Cour ne peut que constater que la bailleresse n'a pas établi de manière certaine les faits correspondant aux conditions de l'art. 257f al. 3 CO à la date de la notification du congé - comme ultérieurement d'ailleurs - et que les preuves apportées par elle ne sont pas non plus suffisamment convaincantes au regard des motifs invoqués par sa partie adverse pour justifier la sous-location. En effet, les explications de l'appelant, selon lesquelles il conserve une ferme intention de réintégrer son appartement, moyennant l'obtention préalable d'un tra- vail à Genève lui permettant d'en assumer le loyer, ne sont nullement incohérentes à la lumières des différents éléments du dossier. Les circonstances qui ont ame- nées l'appelant, dans un premier temps, à sous-louer son logement - à savoir l'op- portunité professionnelle qui s'est présentée en Côte d'Ivoire et qui n'a pu débou-</w:t>
      </w:r>
    </w:p>
    <w:p>
      <w:r>
        <w:t>- 12/14 -</w:t>
      </w:r>
    </w:p>
    <w:p>
      <w:r>
        <w:t>C/7600/2011 cher sur la signature d'un contrat de travail en raison de la situation politique insta- ble dans ce pays - ont été valablement établies et apparaissent tout à fait légitimes, de même que celles qui l'ont empêché de réintégrer celui-ci jusqu'alors - à savoir son incapacité à assumer seul le loyer courant, se trouvant au chômage et ayant, en février 2012, épuisé son droit aux indemnités journalières. Qu'il ait logé temporairement chez sa compagne (et mère de leur enfant), le temps de trouver un travail - en l'occurrence à Zürich – n'annihile pas non plus la crédibilité de la thèse soutenue par les locataires, ce d'autant plus que l'appelant avait alors été logé gra- cieusement. Enfin, qu'il ait trouvé un emploi et un logement à ______ (ZH) ne permet pas non plus d'exclure la ferme intention alléguée par l'appelant de revenir par la suite à Genève, afin de se rapprocher de sa fille née le 5 août 2011, lorsque sa situation professionnelle le permettra. S'agissant de l'appelante, il n'est pas contesté par les parties qu'elle a perdu toute intention de réintégrer le logement litigieux. Il n'en demeure pas moins que, tant que l'un des colocataires conserve cette intention, au sens de la jurisprudence du Tribunal fédéral précitée (arrêt du Tribunal fédéral 4A_367/2010), la sous- location est autorisable. En effet, en cas de colocation, il est parfaitement admis- sible que seul l'un des locataires occupe l'objet, de sorte que, en cas de sous- location totale dudit objet, l'intention de le réintégrer manifestée par l'un des colo- cataires uniquement est suffisante. Aucun autre motif (art. 262 al. 2 CO) ne permettait au reste à la bailleresse de s'opposer à la sous-location, ce qu'elle ne prétend d'ailleurs pas. C'est dès lors à tort que le Tribunal des baux et loyers a validé le congé litigieux, lequel doit être déclaré inefficace. En conséquence, l'appel se révèle fondé et le jugement entrepris sera annulé. 7. La procédure est gratuite, en ce sens qu’il n'est pas perçu de frais judiciaires ou de dépens (art. 22 al. 1 LaCC; art. 95 al. 1 CPC). * * * * *</w:t>
      </w:r>
    </w:p>
    <w:p>
      <w:r>
        <w:t>- 13/14 -</w:t>
      </w:r>
    </w:p>
    <w:p>
      <w:r>
        <w:t>C/7600/2011 PAR CES MOTIFS, La Chambre des baux et loyers : A la forme : Déclare recevable l'appel interjeté par A.______ et B.______ contre le jugement JTBL/959/2012 rendu le 14 septembre 2012 par le Tribunal des baux et loyers dans la cause C/7600/2011-2-OSB. Déclare irrecevables les pièces nouvelles nos 14, 16, 19, 20 et 21 produites par A.______ et B.______. Déclare irrecevable l'écriture spontanée de A.______ et B.______ du 21 janvier 2013. Au fond : Annule ce jugement. Statuant à nouveau : Constate l'inefficacité du congé notifié le 16 mars 2011 pour le 30 avril 2011 à A.______ et B.______, portant sur l'appartement de 3 pièces au 3ème étage de l'immeuble sis _____ (GE). Dit que la procédure est gratuite. Déboute les parties de toutes autres conclusions. Siégeant : Madame Nathalie LANDRY-BARTHE, présidente; Monsieur Blaise PAGAN et Madame Elena SAMPEDRO, juges; Monsieur Pierre STASTNY et Monsieur Bertrand REICH, juges assesseurs; Madame Maïté VALENTE, greffière.</w:t>
      </w:r>
    </w:p>
    <w:p>
      <w:r>
        <w:t>La présidente : Nathalie LANDRY-BARTHE</w:t>
      </w:r>
    </w:p>
    <w:p>
      <w:r>
        <w:t>La greffière : Maïté VALENTE</w:t>
      </w:r>
    </w:p>
    <w:p>
      <w:r>
        <w:t>- 14/14 -</w:t>
      </w:r>
    </w:p>
    <w:p>
      <w:r>
        <w:t>C/7600/2011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r>
        <w:rPr>
          <w:b/>
        </w:rPr>
        <w:t>E. 11</w:t>
      </w:r>
    </w:p>
    <w:p>
      <w:r>
        <w:t>octobre 1994, consid. 4c, publié in SJ 1995 p. 227; 4C.124/1999 du 6 octobre 1999, consid. 4a, b et c; 4C.155/2000 du 30 août 2000, consid. 2b et c, publié in SJ 2001 I p. 17; arrêt du Tribunal fédéral 4A_367/2010). L'intention du locataire principal de réintégrer les locaux loués doit par ailleurs résulter d'un besoin légi- time et clairement perceptible (arrêt du Tribunal fédéral 4A_367/2010). Le transfert de bail et la sous-location se distinguent notamment par une intention différente du locataire. Par la sous-location, le locataire veut toujours revendiquer l'usage de la chose et disposer de son droit d'usage alors que, par le transfert, il veut au contraire remettre son droit d'usage à un tiers et se libérer en même temps du bail (arrêt du Tribunal fédéral 134 III 449, consid. 2.5). Toutefois, si le bailleur avait connaissance ou aurait dû avoir connaissance au vu des circonstances du transfert de bail déguisé et qu'il a expressément ou tacitement accepté que le loge- ment soit occupé par un tiers, sans émettre de réserve, il ne saurait se prévaloir du fait que la sous-location présente pour lui des inconvénients majeurs. Le bailleur qui donne un congé extraordinaire doit prouver les faits qui en sont la condition. Lorsqu'il soutient que le locataire n'a pas l'intention de réintégrer les lo- caux et abuse en conséquence de son droit de sous-louer, il lui incombe d'apporter la preuve des faits qui permettent de parvenir à cette conviction (art. 8 CC). Cependant, s'il est parvenu à apporter des preuves très convaincantes, le locataire ne peut pas se désintéresser de l'administration des preuves et il doit s'efforcer de prouver les circonstances particulières qui pourraient ébranler la force probante des éléments apportés par le bailleur (arrêt du Tribunal fédéral 4C_367/2010).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