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ACJC/959/2022 vom 15. Juli 2022</w:t>
      </w:r>
    </w:p>
    <w:p>
      <w:r>
        <w:t>GE Cour de justice, 2022-07-15, FR</w:t>
      </w:r>
    </w:p>
    <w:p>
      <w:r>
        <w:rPr>
          <w:b/>
        </w:rPr>
        <w:t xml:space="preserve">Quelle: </w:t>
      </w:r>
      <w:r>
        <w:t>https://mcp.opencaselaw.ch/entscheid/ge_gerichte_ACJC_959_2022</w:t>
      </w:r>
    </w:p>
    <w:p>
      <w:r>
        <w:t>FR: GE_GERICHTE ACJC/959/2022 du 15 juillet 2022</w:t>
      </w:r>
    </w:p>
    <w:p>
      <w:r>
        <w:t>IT: GE_GERICHTE ACJC/959/2022 del 15 luglio 2022</w:t>
      </w:r>
    </w:p>
    <w:p>
      <w:pPr>
        <w:pStyle w:val="Heading2"/>
      </w:pPr>
      <w:r>
        <w:t>Erwägungen</w:t>
      </w:r>
    </w:p>
    <w:p>
      <w:r>
        <w:rPr>
          <w:b/>
        </w:rPr>
        <w:t>E. 1</w:t>
      </w:r>
    </w:p>
    <w:p>
      <w:r>
        <w:t>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d’une façon générale la vraisemblance du droit invoqué. Le requérant doit ainsi rendre plausible que le droit matériel invoqué existe et que le procès a des chances de succès (arrêt du Tribunal fédéral 5P.422/2005 du 9 janvier 2006 consid. 3.2, SJ 2006 I p. 371;</w:t>
      </w:r>
    </w:p>
    <w:p>
      <w:r>
        <w:t>- 7/9 -</w:t>
      </w:r>
    </w:p>
    <w:p>
      <w:r>
        <w:t>C/2654/2021 BOHNET, Commentaire romand, Code de procédure civile, 2ème éd. 2019, n. 7 ad art. 261 CPC). En outre, la vraisemblance requise doit porter sur un préjudice difficilement réparable, qui peut être patrimonial ou matériel (BOHNET, op. cit., n. 11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L’existence d’un préjudice difficilement réparable doit être appréciée au regard des conséquences concrètes qu’aurait pour la partie requérante l’absence de telles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 procédure même en cas de décision finale favorable (ACJC/180/2020 du 28 janvier 2020 consid. 2.1.1). Si les conditions sont remplies, le juge ordonne les mesures provisionnelles nécessaires. Pour ce faire, il procède à une pesée des intérêts en présence (BOHNET, Commentaire romand, Code de procédure civile, 2ème éd., 2019, n. 14 ad art. 261 CPC). La pesée d’intérêts, qui s’impose pour toute mesure envisagée, prend en compte le droit présumé du requérant à la mesure conservatoire et les conséquences que celle-ci entraînerait pour le requis (BOHNET, op. cit., n. 17 ad art. 261 CPC). Par définition, les mesures provisionnelles servent à accorder à une partie une protection provisoire, jusqu’à ce qu’un jugement définitif soit prononcé ou puisse l’être, mais ne peuvent toutefois pas préjuger d’un procès déjà pendant ou à venir dans la cause principale (arrêt du Tribunal fédéral 5A_687/2015 du 20 janvier 2016 consid. 4.3).</w:t>
      </w:r>
    </w:p>
    <w:p>
      <w:r>
        <w:rPr>
          <w:b/>
        </w:rPr>
        <w:t>E. 1.2</w:t>
      </w:r>
    </w:p>
    <w:p>
      <w:r>
        <w:t>En l’espèce, le jugement rendu par le Tribunal le 22 avril 2022, lequel a attribué au père la garde de l’enfant D______ tout en réservant un droit de visite en faveur de la mère, a été frappé d’appel. L’appel suspend, dans ce cas, la force de chose jugée et le caractère exécutoire de la décision (art. 315 al. 1 CPC). La situation des parties n’est plus régie par aucune décision exécutoire, le Tribunal les ayant déboutées de leurs requêtes sur mesures provisionnelles et cette décision n’ayant pas été contestée en appel, l’ordonnance du 14 mars 2022 rendue sur mesures superprovisionnelles est caduque.</w:t>
      </w:r>
    </w:p>
    <w:p>
      <w:r>
        <w:t>L’appelante a sollicité le prononcé de mesures provisionnelles visant à pouvoir exercer un droit de visite sur son fils durant les vacances d’été actuellement en cours.</w:t>
      </w:r>
    </w:p>
    <w:p>
      <w:r>
        <w:t>- 8/9 -</w:t>
      </w:r>
    </w:p>
    <w:p>
      <w:r>
        <w:t>C/2654/2021</w:t>
      </w:r>
    </w:p>
    <w:p>
      <w:r>
        <w:t>Il résulte de la procédure que les parties, en dépit de l’intervention du Service d’évaluation et d’accompagnement de la séparation parentale, ne sont pas parvenues à organiser, ensemble et dans l’intérêt bien compris de leur enfant, la prise en charge de ce dernier durant les mois de juillet et août 2022. Cette situation risque par conséquent de déboucher sur l’impossibilité, pour l’appelante, de voir son fils durant l’été, ce qui serait préjudiciable à ce dernier et constitutif d’un dommage non réparable.</w:t>
      </w:r>
    </w:p>
    <w:p>
      <w:r>
        <w:t>Il se justifie par conséquent de statuer sur mesures provisionnelles, afin de fixer un cadre aux relations personnelles mère-enfant durant les mois de juillet et août 2022.</w:t>
      </w:r>
    </w:p>
    <w:p>
      <w:r>
        <w:t>Le mineur, qui n’est pas encore âgé de trois ans, vit avec son père depuis plusieurs mois, tout en ayant conservé des relations, essentiellement téléphoniques, avec sa mère. Les parties s’opposent sur l’octroi de la garde de l’enfant et par conséquent sur le futur lieu de vie du mineur et en l’état aucune solution transactionnelle ne semble se dessiner, de sorte qu’il appartiendra à la Cour, dans le cadre de son arrêt au fond, de statuer sur ces questions. En cas de droit de visite exercé au Portugal, le risque que la mère ne ramène pas l’enfant en Suisse ne peut être totalement écarté en l’état, de sorte qu’il se justifie, sur mesures provisionnelles, que ledit droit de visite s’exerce exclusivement sur le territoire suisse. La mère devra dès lors se déplacer à Genève pour voir son fils, ce qui nécessite qu’elle s’organise, ce d’autant plus qu’elle a un autre enfant âgé de quelques mois seulement. La solution préconisée par le Tribunal, à savoir des vacances morcelées, limitées à une semaine seulement à chaque fois, n’apparaît dès lors pas la plus adéquate pour l’instant. Par conséquent, un droit de visite devant s’exercer exclusivement en Suisse, sauf accord contraire des parties du 23 juillet au matin jusqu’au 7 août au soir sera réservé à l’appelante. Il s’agit certes d’un droit de visite restreint, mais qui permettra néanmoins à l’appelante de passer quinze jours consécutifs avec l’enfant.</w:t>
      </w:r>
    </w:p>
    <w:p>
      <w:r>
        <w:t>L’intimé a également sollicité le prononcé de mesures provisionnelles. Afin d’éviter que la mère ne profite de son droit de visite de deux semaines pour quitter le territoire suisse avec l’enfant, une interdiction dans ce sens sera prononcée, sous la menace de la peine prévue à l’art. 292 CP.</w:t>
      </w:r>
    </w:p>
    <w:p>
      <w:r>
        <w:t>Il sera dès lors statué conformément à ce qui précède, les parties étant, pour le surplus, déboutées de leurs autres conclusions.</w:t>
      </w:r>
    </w:p>
    <w:p>
      <w:r>
        <w:rPr>
          <w:b/>
        </w:rPr>
        <w:t>E. 2</w:t>
      </w:r>
    </w:p>
    <w:p>
      <w:r>
        <w:t>La fixation et la répartition des frais judiciaires et des éventuels dépens relatifs à la présente décision seront renvoyées à l’arrêt au fond. * * * * *</w:t>
      </w:r>
    </w:p>
    <w:p>
      <w:r>
        <w:t>- 9/9 -</w:t>
      </w:r>
    </w:p>
    <w:p>
      <w:r>
        <w:t>C/2654/2021</w:t>
      </w:r>
    </w:p>
    <w:p>
      <w:r>
        <w:t>PAR CES MOTIFS, La Chambre civile :</w:t>
      </w:r>
    </w:p>
    <w:p>
      <w:r>
        <w:t>Statuant sur mesures provisionnelles : Réserve à A______ un droit de visite sur son fils D______ devant s’exercer, sauf accord contraire des parties, exclusivement sur territoire suisse, du 23 juillet 2022 au matin jusqu’au 7 août 2022 au soir. Fait interdiction à A______ de quitter le territoire suisse avec son enfant ou de faire quitter le territoire suisse à ce dernier. Prononce ladite interdiction sous la menace de la peine prévue à l’art. 292 CP ainsi libellé : « Celui qui ne se sera pas conformé à une décision à lui signifiée sous la menace de la peine prévue au présent article, par une autorité ou un fonctionnaire compétents, sera puni d’une amende ». Déboute les parties de toutes autres conclusions. Renvoie la question des frais à l’arrêt au fond. Siégeant : Madame Paola CAMPOMAGNANI, présidente; Monsieur Laurent RIEBEN,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