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ACJC/958/2022 vom 15. Juli 2022</w:t>
      </w:r>
    </w:p>
    <w:p>
      <w:r>
        <w:t>GE Cour de justice, 2022-07-15, FR</w:t>
      </w:r>
    </w:p>
    <w:p>
      <w:r>
        <w:rPr>
          <w:b/>
        </w:rPr>
        <w:t xml:space="preserve">Quelle: </w:t>
      </w:r>
      <w:r>
        <w:t>https://mcp.opencaselaw.ch/entscheid/ge_gerichte_ACJC_958_2022</w:t>
      </w:r>
    </w:p>
    <w:p>
      <w:r>
        <w:t>FR: GE_GERICHTE ACJC/958/2022 du 15 juillet 2022</w:t>
      </w:r>
    </w:p>
    <w:p>
      <w:r>
        <w:t>IT: GE_GERICHTE ACJC/958/2022 del 15 luglio 2022</w:t>
      </w:r>
    </w:p>
    <w:p>
      <w:pPr>
        <w:pStyle w:val="Heading2"/>
      </w:pPr>
      <w:r>
        <w:t>Erwägungen</w:t>
      </w:r>
    </w:p>
    <w:p>
      <w:r>
        <w:rPr>
          <w:b/>
        </w:rPr>
        <w:t>E. 1.1</w:t>
      </w:r>
    </w:p>
    <w:p>
      <w:r>
        <w:t>Interjeté dans le délai utile de dix jours (art. 271 let. a et 314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qui statue sur des conclusions pécuniaires dont la valeur litigieuse est, compte tenu du montant de la contribution d'entretien en cause, supérieure à 10'000 fr. (art. 91 ss et 308 al. 2 CPC), l'appel est recevable.</w:t>
      </w:r>
    </w:p>
    <w:p>
      <w:r>
        <w:rPr>
          <w:b/>
        </w:rPr>
        <w:t>E. 1.2</w:t>
      </w:r>
    </w:p>
    <w:p>
      <w:r>
        <w:t>La Cour revoit la cause avec un plein pouvoir d'examen (art. 310 CPC). Toutefois, les mesures protectrices de l'union conjugale étant soumises à la procédure sommaire, la cognition de la Cour est limitée à la simple vraisemblance des faits et à un examen sommaire du droit, l'exigence de célérité étant privilégiée par rapport à celle de sécurité (ATF 127 III 474 consid. 2b/bb = JdT 2002 I 352; arrêt du Tribunal fédéral 5A_392/2014 du 20 août 2014 consid. 1.5).</w:t>
      </w:r>
    </w:p>
    <w:p>
      <w:r>
        <w:t>- 7/25 -</w:t>
      </w:r>
    </w:p>
    <w:p>
      <w:r>
        <w:t>C/17677/2021</w:t>
      </w:r>
    </w:p>
    <w:p>
      <w:r>
        <w:rPr>
          <w:b/>
        </w:rPr>
        <w:t>E. 1.3</w:t>
      </w:r>
    </w:p>
    <w:p>
      <w:r>
        <w:t>La présente procédure est soumise aux maximes inquisitoire sociale (art. 272 CPC) et de disposition (art. 58 al. 1 CPC) en ce qui concerne la contribution due à l'entretien de l'épouse.</w:t>
      </w:r>
    </w:p>
    <w:p>
      <w:r>
        <w:t>Le tribunal examine d'office si les conditions de recevabilité sont remplies (art. 60 CPC). Cette obligation imposée au tribunal ne signifie pas qu'il doive rechercher lui-même les faits justifiant la recevabilité de la demande. L'examen d'office ne dispense pas les parties de collaborer à l'établissement des faits, en alléguant ceux qui sont pertinents et en indiquant les moyens de preuve propres à les établir (ATF 141 III 294 consid. 6.1; 139 III 278 consid. 4.3; arrêt du Tribunal fédéral 4A_165/2021 du 18 janvier 2022 consid. 3.2.2).</w:t>
      </w:r>
    </w:p>
    <w:p>
      <w:r>
        <w:rPr>
          <w:b/>
        </w:rPr>
        <w:t>E. 2.1.1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L'allégation globale d'un ensemble de faits par simple référence aux pièces produites n'est pas suffisante; à plus forte raison, un ensemble de faits passés entièrement sous silence dans les mémoires, même s'il peut être reconstitué par l'étude de pièces, n'est pas valablement introduit dans le procès et il est donc nouveau si une partie s'avise de s'en prévaloir en appel seulement (arrêt du Tribunal fédéral 4A_309/2013 du 16 décembre 2013 consid. 3.2 et les références citées). Si les moyens de preuve nouvellement offerts se rapportent à des faits survenus avant la clôture de la procédure probatoire de première instance, il ne suffit pas, pour considérer que la condition de l'art. 317 al. 1 CPC est remplie, que la partie intéressée les ait obtenus ensuite, ni qu'elle affirme, sans le démontrer, qu'elle n'y a pas eu accès auparavant, ou qu'elle ne pouvait pas se rendre compte de la nécessité de les produire antérieurement (arrêt du Tribunal fédéral 5A_86/2016 du</w:t>
      </w:r>
    </w:p>
    <w:p>
      <w:r>
        <w:rPr>
          <w:b/>
        </w:rPr>
        <w:t>E. 2.1.2</w:t>
      </w:r>
    </w:p>
    <w:p>
      <w:r>
        <w:t>Même lorsque le procès au fond est régi par la maxime des débats (art. 55 al. 1 CPC), l'établissement des faits nécessaires pour juger des conditions de recevabilité est soumis à la maxime inquisitoire simple (ATF 139 III 278 consid. 4.3; arrêts du Tribunal fédéral 4A_165/2021 du 18 janvier 2022 consid. 3.2.2 ; 4A_100/2016 du 13 juillet 2016 consid. 2.1). Ainsi, en appel, étant donné que l'instance d'appel doit vérifier les conditions de recevabilité devant</w:t>
      </w:r>
    </w:p>
    <w:p>
      <w:r>
        <w:t>- 8/25 -</w:t>
      </w:r>
    </w:p>
    <w:p>
      <w:r>
        <w:t>C/17677/2021 l'instance précédente d'office même sans grief correspondant, elle peut établir d'office les faits pertinents, pour peu qu'ils puissent conduire à déclarer la demande irrecevable. Il n'y a donc pas lieu d'appliquer sur ce point l'art. 317 al. 1 CPC (arrêt du Tribunal fédéral 4A_229/2017 du 7 décembre 2017 consid. 3.4.3).</w:t>
      </w:r>
    </w:p>
    <w:p>
      <w:r>
        <w:rPr>
          <w:b/>
        </w:rPr>
        <w:t>E. 2.2</w:t>
      </w:r>
    </w:p>
    <w:p>
      <w:r>
        <w:t>En l'espèce, l'appelante a nouvellement versé à la procédure un acte de mariage daté du ______ 2004, un relevé d'identité bancaire au nom de A______ [nom du précédent mariage], un courrier du 15 octobre 2010, des relevés de prestations relatifs à des indemnités journalières perçues durant les années 2008 à 2010, la copie d'une pièce d'identité française délivrée en octobre 2010 au nom de A______ épouse [de] P______, sa police d'assurance-maladie pour l'année 2022 (document établi le 12 octobre 2021), des informations tirées d'Internet au sujet de son assurance-maladie, du syndrome de Cotard et du financement d'un séjour en EMS, ainsi qu'une feuille d'informations du Centre d'action sociale de E______ de novembre 2020. L'ensemble de ces documents, ainsi que les allégués qui s'y rapportent (par exemple, les alléguées n° 16, 24 et 25 de l'appel concernant des frais médicaux non couverts par l'assurance-maladie ou ceux relatifs à son premier patronyme de femme mariée) sont irrecevables au stade de l'appel, puisqu'ils auraient pu être produits, respectivement invoqués devant le Tribunal en faisant preuve de diligence. Il en va de même de l'allégué selon lequel sa capacité de travail résiduelle n'aurait jamais été examinée dans le cadre de son suivi. Par ailleurs, en ce qui concerne les problèmes de santé de l'appelante, le rapport psychiatrique établi par un médecin des HUG le 9 décembre 2021 est certes postérieur au jugement entrepris, mais l'appelante n'explique pas les raisons pour lesquelles elle aurait été empêchée de l'obtenir au cours de la procédure de première instance, alors que le trouble dépressif allégué date de 2019. Ce document, ainsi que les faits qui s'y rapportent (cf. allégués n° 5, 7, 9, 11 à 15 de l'acte d'appel), sont donc également irrecevables en seconde instance. Se référant à une pièce produite en première instance, l'appelante fait nouvellement valoir que le relevé de compte de son époux indique un versement de 11'100 fr. en faveur d'un spécialiste en chirurgie cardiaque. Conformément aux règles rappelées supra, cet allégué nouveau, bien que fondé sur une pièce valablement versée au procès, est aussi irrecevable. Pour sa part, l'intimé a produit un relevé de son compte bancaire au 30 novembre 2021. Or, ce document aurait également pu être versé à la procédure en première instance, puisque le Tribunal a gardé la cause à juger à l'échéance d'un délai de dix jours après que l'intéressé eut reçu, le 22 novembre 2021, les déterminations de son épouse du 17 novembre 2021. Ce document et les faits qui en résultent ne seront dès lors pas pris en considération.</w:t>
      </w:r>
    </w:p>
    <w:p>
      <w:r>
        <w:t>- 9/25 -</w:t>
      </w:r>
    </w:p>
    <w:p>
      <w:r>
        <w:t>C/17677/2021 Pour le surplus, les documents relatifs aux recherches effectuées par les parties sur Internet concernant le prix d'un logement de deux pièces à Genève ainsi que les démarches effectuées par l'appelante auprès de l'Hospice général sont recevables puisqu'ils datent de décembre 2021, étant cependant relevé qu'ils sont dépourvus de pertinence pour l'issue du litige.</w:t>
      </w:r>
    </w:p>
    <w:p>
      <w:r>
        <w:rPr>
          <w:b/>
        </w:rPr>
        <w:t>E. 2.3</w:t>
      </w:r>
    </w:p>
    <w:p>
      <w:r>
        <w:t>S'agissant des faits nouveaux ayant trait à l'existence d'une procédure de divorce introduite en 2018, ils sont recevables, car concernant l'examen de la recevabilité de la demande et pouvant donc être constatés d'office par la Cour. 3. La première question à examiner est celle de l'influence de la procédure de divorce préexistante sur la présente procédure.</w:t>
      </w:r>
    </w:p>
    <w:p>
      <w:r>
        <w:t>3.1 3.1.1 De jurisprudence constante, dès qu'une action en divorce d'un des conjoints est pendante devant un tribunal compétent, que ce soit devant un tribunal suisse ou étranger, des mesures protectrices de l'union conjugale ne peuvent plus être prises pour la période postérieure à la litispendance, seules des mesures provisoires (selon l'art. 276 al. 1 CPC qui renvoie aux dispositions régissant la protection de l'union conjugale, applicables par analogie) pouvant encore être ordonnées durant la procédure de divorce (ATF 134 III 326 consid. 3.2 = JdT 2009 I 215). Une procédure de protection de l'union conjugale ne devient toutefois pas sans objet du seul fait de l'ouverture d'un procès en divorce. C'est le début de la litispendance qui détermine la compétence du tribunal des mesures protectrices de l'union conjugale : pour le laps de temps qui précède ce moment, c'est le tribunal des mesures protectrices de l'union conjugale qui prend toutes les mesures aux fins de régler la vie séparée (celui-ci reste donc compétent jusqu'à ce moment pour prendre des mesures même si sa décision intervient postérieurement à ce moment), et pour le temps qui le suit, c'est le tribunal du divorce qui est compétent. La décision du tribunal des mesures protectrices de l'union conjugale prise en vertu de sa compétence déploie des effets jusqu'à ce que le juge du divorce ait pris d'autres mesures (ATF 129 III 60 consid. 3 = JdT 2003 I p. 45). Lorsque le magistrat de première instance a statué en qualité de juge des mesures protectrices - alors qu'une procédure en divorce était pendante à l'étranger et que seules des mesures provisoires auraient pu être ordonnées en Suisse -, cette seule informalité ne suffit pas à justifier l'annulation de la décision, lorsque personne ne soutient que les dispositions prises par le premier juge n'auraient pas pu être ordonnées comme mesures provisoires (ATF 134 III 326 précité).</w:t>
      </w:r>
    </w:p>
    <w:p>
      <w:r>
        <w:t>3.1.2 Selon l'art. 59 CPC, le tribunal n'entre en matière que sur les demandes et les requêtes qui satisfont aux conditions de recevabilité de l'action (al. 1), qui sont, notamment, les suivantes : le tribunal est compétent à raison de la matière et du lieu (al. 2 let. b) et le litige ne fait pas l'objet d'une litispendance préexistante (al. 2 let. d).</w:t>
      </w:r>
    </w:p>
    <w:p>
      <w:r>
        <w:t>- 10/25 -</w:t>
      </w:r>
    </w:p>
    <w:p>
      <w:r>
        <w:t>C/17677/2021</w:t>
      </w:r>
    </w:p>
    <w:p>
      <w:r>
        <w:t>La litispendance est créée par le dépôt de la requête de conciliation, de la demande ou de la requête en justice (art. 62 al. 1 CPC; ATF 141 III 101 consid. 5.6, arrêt du Tribunal fédéral 5A_184/2015 du 22 janvier 2016 consid. 4.3). Elle a principalement pour effet que la même cause, opposant les mêmes parties, ne peut être portée en justice devant une autre autorité (art. 64 al. 1 let. a CPC). Le juge saisi en deuxième peut, par exemple, décider de suspendre la procédure en attendant l'issue de la procédure antérieure (ATF 141 III 549 consid. 6.5).</w:t>
      </w:r>
    </w:p>
    <w:p>
      <w:r>
        <w:t>Le tribunal saisi examine d'office si les conditions de recevabilité sont remplies (art. 60 CPC).</w:t>
      </w:r>
    </w:p>
    <w:p>
      <w:r>
        <w:t>Si le tribunal se prononce malgré le défaut d'une condition de recevabilité, ce au lieu de refuser d'entrer en matière, le jugement peut souffrir d'une grave lacune et, selon les circonstances, être entaché de nullité (ATF 140 III 227 consid. 3.3; 137 III 217 consid. 2.4.3). Il faut ainsi différencier quelle condition de recevabilité est en cause, puisque, par exemple, l'absence de compétence ratione loci peut être guérie par le consentement d'une partie. Il doit être dans l'intérêt public d'éviter la survenance du vice de procédure en question. Selon la jurisprudence et la doctrine, l'absence d'une condition de recevabilité doit être examinée à tous les stades de la procédure et d'office, même si le vice n'est apparu qu'au stade de la procédure de recours et qu'un jugement a été rendu en première instance en dépit de ce vice (ATF 130 III 430 consid. 3.1). La nullité doit de toute manière être constatée de tout temps et par toutes les autorités saisies, même au stade du recours (ATF 137 III 217 consid. 2.4.3; arrêt du Tribunal fédéral 4A_229/2017 du</w:t>
      </w:r>
    </w:p>
    <w:p>
      <w:r>
        <w:rPr>
          <w:b/>
        </w:rPr>
        <w:t>E. 5</w:t>
      </w:r>
    </w:p>
    <w:p>
      <w:r>
        <w:t>septembre 2016 consid. 2.2). La Cour examine d'office la recevabilité des faits et moyens de preuve nouveaux produits en appel (REETZ/HILBER, Kommentar zur Schweizerischen Zivilprozessordnung, 3ème éd. 2017, n. 26 ad art. 317 CPC).</w:t>
      </w:r>
    </w:p>
    <w:p>
      <w:r>
        <w:rPr>
          <w:b/>
        </w:rPr>
        <w:t>E. 7</w:t>
      </w:r>
    </w:p>
    <w:p>
      <w:r>
        <w:t>L'appelante réclame une provisio ad litem de 3'500 fr. pour la procédure de seconde instance. 7.1.1 Une provisio ad litem est due à l'époux qui ne dispose pas lui-même des moyens suffisants pour assumer les frais du procès (ATF 146 III 203 consid. 6.3). Le fondement de cette prestation - devoir d'assistance (art. 159 al. 3 CC) ou obligation d'entretien (art. 163 CC) - est controversé (ATF 142 III 36 consid. 2.3; arrêt du Tribunal fédéral 5A_62/2011 du 26 juillet 2011 consid. 2.2), mais cet aspect n'a pas d'incidence sur les conditions qui président à son octroi.</w:t>
      </w:r>
    </w:p>
    <w:p>
      <w:r>
        <w:t>La conclusion en paiement d'une provisio ad litem ne peut être déclarée sans objet, respectivement rejetée, du seul fait que la procédure est arrivée à son terme. En effet, lorsque des frais de procédure ont été mis à la charge de la partie qui a sollicité la provisio ad litem et que les dépens ont été compensés, savoir si celle-ci dispose des moyens suffisants pour assumer lesdits frais est une question qui – comme lorsqu'il a été renoncé provisoirement à exiger une avance de frais et qu'il a été sursis à statuer sur l'octroi de l'assistance judiciaire – continue de se poser au moment où la décision finale est rendue (arrêts du Tribunal fédéral 5D_66/2020 du 14 août 2020 consid. 3.2; 5A_590/2019 du 13 février 2020 consid. 3.5). 7.1.2 Les frais judiciaires et les dépens sont répartis entre les parties en application des art. 106 s. CPC, la règle étant qu'ils sont en principe mis à la charge de la partie qui succombe (art. 106 al. 1 CPC). Le tribunal est toutefois libre de s'écarter de cette règle et de les répartir selon sa libre appréciation dans les hypothèses prévues par l'art. 107 CPC, notamment lorsque le litige relève du droit de la famille (art. 107 al. 1 let. c CPC); il n'est ainsi pas exclu, dans ce type de procédure, que la partie qui obtient gain de cause soit condamnée à supporter des frais (arrêt du Tribunal fédéral 5A_835/2015 du 21 mars 2016 consid. 9.1 et les références). Rien n'empêche cependant le Tribunal d'en rester à une répartition selon l'art. 106 al. 1 ou 2 CPC, notamment en cas de litige entre époux portant essentiellement sur les conséquences pécuniaires d'un divorce (TAPPY, Commentaire romand, CPC, 2ème éd. 2019, n. 17 ad art. 107 CPC).</w:t>
      </w:r>
    </w:p>
    <w:p>
      <w:r>
        <w:rPr>
          <w:b/>
        </w:rPr>
        <w:t>E. 7.2</w:t>
      </w:r>
    </w:p>
    <w:p>
      <w:r>
        <w:t>En l'occurrence, les frais judiciaires d'appel seront arrêtés à 1'000 fr. Vu l'issue du litige, lesdits frais seront mis à la charge de l'intimé. Celui-ci sera dès lors condamné à verser 1'000 fr. à l'Etat de Genève, soit pour lui les Services financiers du Pouvoir judiciaire.</w:t>
      </w:r>
    </w:p>
    <w:p>
      <w:r>
        <w:t>- 23/25 -</w:t>
      </w:r>
    </w:p>
    <w:p>
      <w:r>
        <w:t>C/17677/2021</w:t>
      </w:r>
    </w:p>
    <w:p>
      <w:r>
        <w:t>Il sera par ailleurs condamné à verser 2'000 fr. à l'appelante à titre de dépens d'appel, débours et TVA inclus (art. 25 et 26 al. 1 LaCC; art. 84 et ss RTFMC).</w:t>
      </w:r>
    </w:p>
    <w:p>
      <w:r>
        <w:t>Au regard de la solution adoptée au sujet des frais de seconde instance, la demande de provisio ad litem est sans objet. * * * * *</w:t>
      </w:r>
    </w:p>
    <w:p>
      <w:r>
        <w:t>- 24/25 -</w:t>
      </w:r>
    </w:p>
    <w:p>
      <w:r>
        <w:t>C/17677/2021 PAR CES MOTIFS, La Chambre civile :</w:t>
      </w:r>
    </w:p>
    <w:p>
      <w:r>
        <w:t>A la forme : Déclare recevable l'appel interjeté le 13 décembre 2021 par A______ contre le jugement JTPI/15159/2021 rendu le 2 décembre 2021 par le Tribunal de première instance dans la cause C/17677/2021. Au fond : Annule le chiffre 2 du dispositif de ce jugement et statuant à nouveau: Condamne B______ à contribuer à l'entretien de A______, par mois et d'avance, à hauteur de 2'360 fr. de juillet 2022 à octobre 2022, de 2'130 fr. dès novembre 2022, puis de 400 fr. dès janvier 2023. Condamne B______ à verser à A______ le montant de 22'100 fr. à titre de contribution d'entretien pour la période de septembre 2021 à juin 2022. Confirme le jugement entrepris pour le surplus. Déboute les parties de toutes autres conclusions. Sur les frais : Arrête les frais judiciaires d'appel à 1'000 fr. et les met à la charge de B______. Condamne B______ à verser 1'000 fr. à l'Etat de Genève, soit pour lui aux Services financiers du Pouvoir judiciaire. Condamne B______ à verser 2'000 fr. à A______ à titre de dépens d'appel. Siégeant : Monsieur Laurent RIEBEN, président; Monsieur Patrick CHENAUX, Madame Fabienne GEISINGER-MARIETHOZ, juges; Madame Gladys REICHENBACH, greffière.</w:t>
      </w:r>
    </w:p>
    <w:p>
      <w:r>
        <w:t>Le président : Laurent RIEBEN</w:t>
      </w:r>
    </w:p>
    <w:p>
      <w:r>
        <w:t>La greffière : Gladys REICHENBACH</w:t>
      </w:r>
    </w:p>
    <w:p>
      <w:r>
        <w:t>- 25/25 -</w:t>
      </w:r>
    </w:p>
    <w:p>
      <w:r>
        <w:t>C/17677/2021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