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ACJC/957/2024 vom 26. Juli 2024</w:t>
      </w:r>
    </w:p>
    <w:p>
      <w:r>
        <w:t>GE Cour de justice, 2024-07-26, FR</w:t>
      </w:r>
    </w:p>
    <w:p>
      <w:r>
        <w:rPr>
          <w:b/>
        </w:rPr>
        <w:t xml:space="preserve">Quelle: </w:t>
      </w:r>
      <w:r>
        <w:t>https://mcp.opencaselaw.ch/entscheid/ge_gerichte_ACJC_957_2024</w:t>
      </w:r>
    </w:p>
    <w:p>
      <w:r>
        <w:t>FR: GE_GERICHTE ACJC/957/2024 du 26 juillet 2024</w:t>
      </w:r>
    </w:p>
    <w:p>
      <w:r>
        <w:t>IT: GE_GERICHTE ACJC/957/2024 del 26 luglio 2024</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Les actes de procédure accomplis par le falsus procurator sont nuls ex tunc et ne sont pris d’aucune manière en considération. L’acte qu’il a rédigé et déposé sera écarté du dossier et le recours sera considéré comme irrecevable (arrêt du Tribunal fédéral 5D_70/2016 du 8 décembre 2016 consid. 1.2). En l'espèce, le recours déposé le 26 février 2024, selon la forme et le délai prescrits, par la recourante représentée par Me JAKOB est recevable. Le recours signé par Me D______ le 28 février 2024, sans procuration valable, sera déclaré irrecevable.</w:t>
      </w:r>
    </w:p>
    <w:p>
      <w:r>
        <w:rPr>
          <w:b/>
        </w:rPr>
        <w:t>E. 1.3</w:t>
      </w:r>
    </w:p>
    <w:p>
      <w:r>
        <w:t>Dans le cadre d'un recours, le pouvoir d'examen de la Cour est limité à la violation du droit et à la constatation manifestement inexacte des faits (art. 320</w:t>
      </w:r>
    </w:p>
    <w:p>
      <w:r>
        <w:t>- 6/10 -</w:t>
      </w:r>
    </w:p>
    <w:p>
      <w:r>
        <w:t>C/20691/2023 CPC). L'autorité de recours a un plein pouvoir d'examen en droit, mais un pouvoir limité à l'arbitraire en fait, n'examinant par ailleurs que les griefs formulés et motivés par le recourant (HOHL/DE PORET BORTOLASO/AGUET, Procédure civile, Tome II, 2ème édition, Berne, 2010, n. 2307).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w:t>
      </w:r>
    </w:p>
    <w:p>
      <w:r>
        <w:t>Les parties ont produit des pièces non soumises au Tribunal.</w:t>
      </w:r>
    </w:p>
    <w:p>
      <w:r>
        <w:rPr>
          <w:b/>
        </w:rPr>
        <w:t>E. 2.1</w:t>
      </w:r>
    </w:p>
    <w:p>
      <w:r>
        <w:t>A teneur de l'art. 326 al. 1 CPC, les conclusions, allégations de faits et les preuves nouvelles sont irrecevables dans le cadre d'un recours. Les faits qui sont immédiatement connus du Tribunal, notamment parce qu'ils ressortent d'une autre procédure entre les mêmes parties, peuvent cependant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w:t>
      </w:r>
    </w:p>
    <w:p>
      <w:r>
        <w:rPr>
          <w:b/>
        </w:rPr>
        <w:t>E. 2.2</w:t>
      </w:r>
    </w:p>
    <w:p>
      <w:r>
        <w:t>En l'espèce, les pièces produites par les parties sont recevables, s'agissant de décisions qui ont été rendues entre elles dans le cadre d'autres procédures. Il en a été tenu compte dans l'état de faits ci-dessus.</w:t>
      </w:r>
    </w:p>
    <w:p>
      <w:r>
        <w:rPr>
          <w:b/>
        </w:rPr>
        <w:t>E. 3</w:t>
      </w:r>
    </w:p>
    <w:p>
      <w:r>
        <w:t>La recourante fait grief au Tribunal d'avoir prononcé la mainlevée définitive, alors que les décisions produites ne la condamnent pas à payer la somme en poursuite.</w:t>
      </w:r>
    </w:p>
    <w:p>
      <w:r>
        <w:rPr>
          <w:b/>
        </w:rPr>
        <w:t>E. 3.1</w:t>
      </w:r>
    </w:p>
    <w:p>
      <w:r>
        <w:t>Aux termes de l'art. 80 al. 1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 5A_487/2011 du 2 septembre 2011 consid. 3.1 et les références). Néanmoins, ce</w:t>
      </w:r>
    </w:p>
    <w:p>
      <w:r>
        <w:t>- 7/10 -</w:t>
      </w:r>
    </w:p>
    <w:p>
      <w:r>
        <w:t>C/20691/2023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(ATF 138 III 583 consid. 6.1.1). De jurisprudence constante, le prononcé qui rejette une requête de mainlevée n'a pas l'autorité de la chose jugée quant à l'existence de la prétention litigieuse et, partant, n'empêche pas le poursuivant de requérir derechef la mainlevée, y compris dans la même poursuite, en produisant les documents idoines (arrêt du Tribunal fédéral 5A_894/2014 du 12 février 2015 consid. 6; ATF 140 III 456 consid. 2.5 et références).</w:t>
      </w:r>
    </w:p>
    <w:p>
      <w:r>
        <w:rPr>
          <w:b/>
        </w:rPr>
        <w:t>E. 3.2</w:t>
      </w:r>
    </w:p>
    <w:p>
      <w:r>
        <w:t>En l'espèce, il est constant que le dispositif du jugement produit comme valant titre de mainlevée, confirmé par la Cour, ne contient pas condamnation de la recourante à verser à l'intimé la somme en poursuite, soit 7'777 fr. 15, plus intérêts, alléguée due au titre du solde du compte caution de ce dernier. Dans les considérants de cette décision, le Tribunal a relevé que l'intimé aurait droit au remboursement du solde de son compte caution à l'échéance d’un délai de trente-six mois à compter de la fin des rapports de travail, soit au 2 décembre 2018, date de l'établissement d'un décompte final. La prétention, dont le montant n'était pas déterminé, n'était donc pas exigible au moment du prononcé de ce jugement, ce qui excluait toute condamnation à payer. Ledit jugement ne vaut donc pas titre de mainlevée définitive pour le montant en poursuite. Il appartiendra à l'intimé d'agir en paiement contre la recourante, s'il s'y estime fondé, afin d'obtenir la condamnation de celle-ci à lui verser le solde de son compte caution, dont aucune pièce claire ne permet à ce stade de déterminer avec certitude la quotité. Les jugements rendus antérieurement par le Tribunal entre les parties, en lien avec les montants que la recourante a été condamnée à verser à l'intimé aux termes du jugement du Tribunal des prud'hommes du 22 décembre 2017, confirmé par arrêt de la Cour du 19 novembre 2018 ne permettent pas de conclusion différente. En particulier, le jugement du 7 août 2023, rendu dans le cadre de la même poursuite que celle objet de la présente procédure a déjà statué en ce sens. Le dépôt d'une nouvelle requête en mainlevée, postérieurement à ce jugement, frise donc la témérité, quand bien même ledit jugement n'est pas revêtu de l'autorité de la chose jugée quant à l'existence de la créance.</w:t>
      </w:r>
    </w:p>
    <w:p>
      <w:r>
        <w:t>- 8/10 -</w:t>
      </w:r>
    </w:p>
    <w:p>
      <w:r>
        <w:t>C/20691/2023 Au vu des considérations qui précèdent, le jugement entrepris sera annulé et il sera statué à nouveau (art. 318 al. 1 let. b CPC) en ce que l'intimé sera débouté des fins de sa requête.</w:t>
      </w:r>
    </w:p>
    <w:p>
      <w:r>
        <w:rPr>
          <w:b/>
        </w:rPr>
        <w:t>E. 4</w:t>
      </w:r>
    </w:p>
    <w:p>
      <w:r>
        <w:t>Les frais de première et seconde instance, arrêtés à 300 fr. et 650 fr. (y compris la décision sur effet suspensif) respectivement, seront mis à la charge de l'intimé qui succombe (art. 106 al. 1 CPC) et compensés avec les avances fournies par les parties, acquises à l'Etat de Genève (art. 111 al. 1 CPC). L'intimé sera en conséquence condamné à verser à la recourante la somme de 650 fr. à titre de remboursement de son avance.</w:t>
      </w:r>
    </w:p>
    <w:p>
      <w:r>
        <w:t>Il sera en outre condamné à lui verser la somme de 800 fr. à titre de dépens de recours de première et seconde instance (art. 84, 85, 88, 89 et 90 RTFMC). * * * * *</w:t>
      </w:r>
    </w:p>
    <w:p>
      <w:r>
        <w:t>- 9/10 -</w:t>
      </w:r>
    </w:p>
    <w:p>
      <w:r>
        <w:t>C/20691/2023 PAR CES MOTIFS, La Chambre civile : A la forme : Déclare recevable le recours interjeté par A______ SÀRL le 26 février 2024 contre le jugement JTPI/2347/2024 rendu le 15 février 2024 par le Tribunal de première instance dans la cause C/20691/2023–5 SML. Déclare irrecevable le recours signé par Me D______ le 28 février 2024 contre le jugement JTPI/2347/2024 rendu le 15 février 2024 par le Tribunal de première instance dans la cause C/20691/2023–5 SML. Au fond : Annule ce jugement. Déboute B______ des fins de sa requête de mainlevée définitive de l'opposition formée au commandement de payer, poursuite n° 1______, par A______ SARL. Déboute les parties de toutes autres conclusions. Sur les frais : Arrête les frais judiciaires de première et seconde instance à 950 fr., les met à la charge de B______ et dit qu'ils sont compensés avec les avances fournies par les parties. Condamne B______ à verser à A______ SARL la somme de 650 fr. au titre de remboursement de son avance. Condamne B______ à verser à A______ SARL la somme de 800 fr. à titre de dépens de première et seconde instance. Siégeant : Madame Pauline ERARD, présidente; Madame Sylvie DROIN, Madame Nathalie LANDRY-BARTHE, juges; Madame Laura SESSA, greffière.</w:t>
      </w:r>
    </w:p>
    <w:p>
      <w:r>
        <w:t>La présidente : Pauline ERARD</w:t>
      </w:r>
    </w:p>
    <w:p>
      <w:r>
        <w:t>La greffière : Laura SESSA</w:t>
      </w:r>
    </w:p>
    <w:p>
      <w:r>
        <w:t>- 10/10 -</w:t>
      </w:r>
    </w:p>
    <w:p>
      <w:r>
        <w:t>C/20691/2023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