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ACJC/957/2023 vom 13. Juli 2023</w:t>
      </w:r>
    </w:p>
    <w:p>
      <w:r>
        <w:t>GE Cour de justice, 2023-07-13, FR</w:t>
      </w:r>
    </w:p>
    <w:p>
      <w:r>
        <w:rPr>
          <w:b/>
        </w:rPr>
        <w:t xml:space="preserve">Quelle: </w:t>
      </w:r>
      <w:r>
        <w:t>https://mcp.opencaselaw.ch/entscheid/ge_gerichte_ACJC_957_2023</w:t>
      </w:r>
    </w:p>
    <w:p>
      <w:r>
        <w:t>FR: GE_GERICHTE ACJC/957/2023 du 13 juillet 2023</w:t>
      </w:r>
    </w:p>
    <w:p>
      <w:r>
        <w:t>IT: GE_GERICHTE ACJC/957/2023 del 13 luglio 2023</w:t>
      </w:r>
    </w:p>
    <w:p>
      <w:pPr>
        <w:pStyle w:val="Heading2"/>
      </w:pPr>
      <w:r>
        <w:t>Erwägungen</w:t>
      </w:r>
    </w:p>
    <w:p>
      <w:r>
        <w:rPr>
          <w:b/>
        </w:rPr>
        <w:t>E. 1.1</w:t>
      </w:r>
    </w:p>
    <w:p>
      <w:r>
        <w:t>Dans les affaires patrimoniales, l'appel est recevable si la valeur litigieuse au dernier état des conclusions est de 10'000 fr. au moins (art. 308 al. 2 CPC). Les contestations portant sur l'usage d'une chose louée sont de nature pécuniaire (arrêt du Tribunal fédéral 4A_388/2016 du 15 mars 2017 consid. 1; 4A_72/2007 du 22 août 2007 consid. 2).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w:t>
      </w:r>
    </w:p>
    <w:p>
      <w:r>
        <w:rPr>
          <w:b/>
        </w:rPr>
        <w:t>E. 1.2</w:t>
      </w:r>
    </w:p>
    <w:p>
      <w:r>
        <w:t>En l'espèce, le contrat de bail liant les parties n'a pas été versé à la procédure. Il est vraisemblable que le loyer du studio s'élève à plus de 500 fr. par mois, de sorte que la valeur litigieuse est supérieure à 10'000 fr. (500 fr. x 12 x 3), de sorte que la voie de l'appel est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- 7/10 -</w:t>
      </w:r>
    </w:p>
    <w:p>
      <w:r>
        <w:t>C/348/2021</w:t>
      </w:r>
    </w:p>
    <w:p>
      <w:r>
        <w:rPr>
          <w:b/>
        </w:rPr>
        <w:t>E. 2</w:t>
      </w:r>
    </w:p>
    <w:p>
      <w:r>
        <w:t>L'appelante se plaint d'une violation des art. 30 Cst et 6 § 1 CEDH en raison des modifications intervenues dans la composition du Tribunal durant la procédure de première instance. 2.1.1 Selon l'art. 30 al. 1 Cst. et l'art. 6 § 1 CEDH, toute personne dont la cause doit être jugée dans une procédure judiciaire a droit à ce que sa cause soit portée devant un tribunal établi par la loi, compétent, indépendant et impartial. Cette réglementation vise à éviter que des tribunaux ne soient constitués spécialement pour le jugement d'une affaire et à empêcher que les juges choisis pour statuer dans une affaire déterminée ne le soient de façon à influencer le jugement. Un tribunal dont la composition n'est pas justifiée par des motifs objectifs viole le droit à la garantie constitutionnelle du juge indépendant et impartial. Les parties à la procédure ont droit à ce que l'autorité judiciaire soit composée régulièrement (ATF 137 I 340 consid. 2.2.1). La composition et la formation des tribunaux civils appelés à statuer relèvent de l'organisation judiciaire cantonale (art. 3 CPC; Message du 28 juin 2006 relatif au code de procédure civile suisse [CPC], FF 2006 ch. 5.1 p. 6875 ad art. 3). Le tribunal est ainsi valablement constitué lorsqu'il siège dans une composition qui correspond à ce que le droit cantonal prévoit. Le droit des parties à une composition régulière du tribunal impose des exigences minimales au droit d'organisation judiciaire cantonal, de façon à éviter les tribunaux d'exception et la mise en œuvre de juges ad hoc ou ad personam (ATF 129 V 335 consid. 1.3.1; arrêts du Tribunal fédéral 4A_1/2017 du 22 juin 2017 consid. 2.1.1; 9C_731/2007 du 20 août 2008 consid. 2.2.1). C'est en premier lieu à la lumière des règles cantonales topiques d'organisation judiciaire qu'il convient d'examiner si une autorité judiciaire a statué dans une composition conforme à la loi. Sur ce point, le pouvoir d'examen du Tribunal fédéral est limité à l'arbitraire. En second lieu, le Tribunal fédéral examine avec une pleine cognition le point de savoir si la composition correcte du tribunal, telle que prévue par le droit cantonal, reconnu non arbitraire, est compatible avec l'art. 30 al. 1 Cst. (ATF 131 I 31 consid. 2.1.2.1 p. 34 s.; à propos de l'art. 29 al. 1 Cst. applicable à la composition d'une autorité administrative, cf. ATF 142 I 172 consid. 3.2). La composition irrégulière de la juridiction est un vice fondamental, qui ne peut pas être réparé; seul un nouveau jugement, rendu par un tribunal établi conformément à la loi, est susceptible de rétablir une situation conforme au droit (ATF 144 IV 35 consid. 2.1 et les références; 136 I 207 consid. 5.6; arrêts du Tribunal fédéral 9C_232/2018 du 8 juin 2018 consid. 2; 6B_226/2015 du 30 juin 2015 consid. 1.2; 9C_185/2009 du 19 août 2009 consid. 2.1.2).</w:t>
      </w:r>
    </w:p>
    <w:p>
      <w:r>
        <w:t>- 8/10 -</w:t>
      </w:r>
    </w:p>
    <w:p>
      <w:r>
        <w:t>C/348/2021 2.1.2 Les conditions formelles de validité et de régularité de la procédure de première instance s'examinent d'office (ATF 135 V 124 consid. 3.1; 132 V 93 consid. 1.2 et les références; arrêt du Tribunal fédéral 4A_1/2017 précité ibid; MEYER/DORMANN, in Basler Kommentar zum Bundesgerichtsgesetz, 3ème éd. 2018, n. 8 ad art. 106 LTF), parmi lesquelles figure la composition - régulière ou pas - du tribunal qui a statué (ATF 129 V 335 consid. 1.2; arrêt du Tribunal fédéral 9C_106/2018 du 17 décembre 2018 consid. 3.1). 2.1.3 Selon la jurisprudence, l'art. 30 al. 1 Cst. n'exige pas que l'autorité judiciaire appelée à statuer soit composée des mêmes personnes tout au long de la procédure, notamment pour l'audition des témoins qui peut être attribuée à un juge délégué ou instructeur (cf. art. 155 al. 1 CPC), et pour le jugement (arrêt du Tribunal fédéral 9C_731/2007 précité consid. 2.2.3 et les arrêts cités). La modification de la composition du tribunal en cours de procédure ne constitue donc pas en tant que telle une violation de l'art. 30 al. 1 Cst. Elle s'impose nécessairement lorsqu'un juge doit être remplacé par un autre ensuite de départ à la retraite, d'élection dans un autre tribunal, de décès ou en cas d'incapacité de travail de longue durée (arrêt du Tribunal fédéral 9C_731/2007 précité consid. 2.2.3). Cela vaut aussi bien pour la composition de l'autorité de première instance que pour celle de l'autorité d'appel (art. 308 ss CPC). 2.1.4 Si une modification intervient dans la composition du tribunal de première instance constitué initialement, il appartient au tribunal d'attirer l'attention des parties sur le remplacement de juges qui est envisagé et les raisons qui le motivent; les parties ne peuvent se voir reprocher un défaut de motivation de leur grief de violation de l'art. 30 al. 1 Cst. (art. 310 let. a CPC) que si elles connaissent les motifs justifiant le changement. Le droit à une composition régulière du tribunal doit être examiné de la même façon que le droit à un tribunal indépendant (ATF 142 I 93 consid. 8.2; cf. arrêt du Tribunal fédéral 4A_430/2016 du 7 février 2017 consid. 2).</w:t>
      </w:r>
    </w:p>
    <w:p>
      <w:r>
        <w:rPr>
          <w:b/>
        </w:rPr>
        <w:t>E. 2.2</w:t>
      </w:r>
    </w:p>
    <w:p>
      <w:r>
        <w:t>En l'espèce, durant la procédure de première instance, la composition du Tribunal s'est modifiée. En effet, la Présidente a changé en cours de procédure. La première a entendu les premières plaidoiries orales. Le courrier par lequel la Présidente du Tribunal civil a procédé à une réattribution de la présente affaire fait référence à la réorganisation du Tribunal civil, de manière générale. En ce qui concerne l'audience du 24 février 2022, le procès-verbal ne comporte aucune mention de ce que l'attention des parties aurait été attirée sur la modification de la composition du Tribunal. Il résulte par ailleurs de l'ordonnance du Tribunal du 12 avril 2022 que l'indisponibilité du juge assesseur H______ était temporaire.</w:t>
      </w:r>
    </w:p>
    <w:p>
      <w:r>
        <w:t>- 9/10 -</w:t>
      </w:r>
    </w:p>
    <w:p>
      <w:r>
        <w:t>C/348/2021 Dans la mesure où le Tribunal n'a pas indiqué les motifs des changements dans sa composition, l'appel doit être admis pour violation de l'art. 30 al. 1 Cst, la Cour n'étant pas ne mesure de contrôler le bien-fondé des changements de composition du Tribunal. La cause sera ainsi renvoyée au Tribunal. Il n'y a donc pas lieu d'examiner les griefs de l'appelante sur le fond.</w:t>
      </w:r>
    </w:p>
    <w:p>
      <w:r>
        <w:rPr>
          <w:b/>
        </w:rPr>
        <w:t>E. 3</w:t>
      </w:r>
    </w:p>
    <w:p>
      <w:r>
        <w:t>A teneur de l'art. 22 al. 1 LaCC, il n'est pas prélevé de frais dans les causes soumises à la juridiction des baux et loyers (ATF 139 III 182 consid. 2.6). * * * * *</w:t>
      </w:r>
    </w:p>
    <w:p>
      <w:r>
        <w:t>- 10/10 -</w:t>
      </w:r>
    </w:p>
    <w:p>
      <w:r>
        <w:t>C/348/2021 PAR CES MOTIFS, La Chambre des baux et loyers :</w:t>
      </w:r>
    </w:p>
    <w:p>
      <w:r>
        <w:t>A la forme : Déclare recevable l'appel interjeté le 30 janvier 2023 par A______ contre le jugement JTBL/958/2022 rendu le 12 décembre 2022 par le Tribunal des baux et loyers dans la cause C/348/2021-20-OSB. Au fond : Annule ce jugement. Renvoie la cause au Tribunal pour complètement de l'état de fait et nouvelle décision dans le sens des considérants. Dit que la procédure est gratuite. Déboute les parties de toutes autres conclusions d'appel.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