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ACJC/957/2022 vom 26. Juli 2022</w:t>
      </w:r>
    </w:p>
    <w:p>
      <w:r>
        <w:t>GE Cour de justice, 2022-07-26, FR</w:t>
      </w:r>
    </w:p>
    <w:p>
      <w:r>
        <w:rPr>
          <w:b/>
        </w:rPr>
        <w:t xml:space="preserve">Quelle: </w:t>
      </w:r>
      <w:r>
        <w:t>https://mcp.opencaselaw.ch/entscheid/ge_gerichte_ACJC_957_2022</w:t>
      </w:r>
    </w:p>
    <w:p>
      <w:r>
        <w:t>FR: GE_GERICHTE ACJC/957/2022 du 26 juillet 2022</w:t>
      </w:r>
    </w:p>
    <w:p>
      <w:r>
        <w:t>IT: GE_GERICHTE ACJC/957/2022 del 26 luglio 2022</w:t>
      </w:r>
    </w:p>
    <w:p>
      <w:pPr>
        <w:pStyle w:val="Heading2"/>
      </w:pPr>
      <w:r>
        <w:t>Erwägungen</w:t>
      </w:r>
    </w:p>
    <w:p>
      <w:r>
        <w:rPr>
          <w:b/>
        </w:rPr>
        <w:t>E. 1</w:t>
      </w:r>
    </w:p>
    <w:p>
      <w:r>
        <w:t>L'appel est recevable pour avoir été interjeté auprès de l'autorité compétente (art. 120 al. 1 let. a LOJ), selon la forme prescrite par la loi (art. 130, 131 et 311 CPC) et dans le délai utile de 30 jours (art. 311 al. 1 CPC), à l'encontre d'une décision finale (art. 308 al. 1 let. a CPC) rendue dans une affaire non pécuniaire dans son ensemble en première instance, puisque portant également sur la constatation de paternité, mais dont la valeur litigieuse des conclusions pécuniaires est, en tout état, supérieure à 10'000 fr. (art. 91 al. 1 et 308 al. 2 CPC).</w:t>
      </w:r>
    </w:p>
    <w:p>
      <w:r>
        <w:rPr>
          <w:b/>
        </w:rPr>
        <w:t>E. 1.2</w:t>
      </w:r>
    </w:p>
    <w:p>
      <w:r>
        <w:t>La Cour de céans revoit la cause en fait et en droit avec un plein pouvoir d'examen (art. 310 CPC). La procédure simplifiée s'applique (art. 295 CPC).</w:t>
      </w:r>
    </w:p>
    <w:p>
      <w:r>
        <w:rPr>
          <w:b/>
        </w:rPr>
        <w:t>E. 1.3</w:t>
      </w:r>
    </w:p>
    <w:p>
      <w:r>
        <w:t>En ce qui concerne le sort d'enfants mineurs, les maximes d'office et inquisitoire illimitée sont applicables (art. 296 CPC), de sorte que la Cour n'est pas liée par les conclusions des parties à cet égard (art. 296 al. 3 CPC) et a le devoir d'éclaircir les faits et de prendre en considération d'office tous les éléments qui peuvent être importants pour rendre une décision conforme à l'intérêt des enfants (ATF 128 III 411 consid. 3.1; 122 II 404 consid. 3b). Bien que la maxime inquisitoire s'applique, il incombe aux parties, en vertu de leur devoir de collaborer, de renseigner le juge sur les faits de la cause en lui indiquant les</w:t>
      </w:r>
    </w:p>
    <w:p>
      <w:r>
        <w:t>- 6/12 -</w:t>
      </w:r>
    </w:p>
    <w:p>
      <w:r>
        <w:t>C/27061/2020 moyens de preuve disponibles et les éléments de fait pertinents (ATF 140 III 485 consid. 3.3; arrêt du Tribunal fédéral 5A_446/2016 du 4 novembre 2016 consid. 4.1).</w:t>
      </w:r>
    </w:p>
    <w:p>
      <w:r>
        <w:rPr>
          <w:b/>
        </w:rPr>
        <w:t>E. 1.4</w:t>
      </w:r>
    </w:p>
    <w:p>
      <w:r>
        <w:t>Quoi qu'en dise l'intimé, les pièces nouvelles produites en appel, utiles à la détermination de l'entretien de son fils mineur, sont recevables. En effet, lorsque la procédure est soumise, comme ici, à la maxime inquisitoire illimitée, les parties peuvent présenter des nova en appel même si les conditions de l'art. 317 al. 1 CPC ne sont pas réunies (ATF 147 III 301 consid. 2.2; 144 III 349 consid. 4.2.1).</w:t>
      </w:r>
    </w:p>
    <w:p>
      <w:r>
        <w:rPr>
          <w:b/>
        </w:rPr>
        <w:t>E. 2</w:t>
      </w:r>
    </w:p>
    <w:p>
      <w:r>
        <w:t>Les appelants contestent la quotité de la pension alimentaire arrêtée par le premier juge. 2.1.1 Selon l'art. 276 CC, l'entretien de l'enfant est assuré par les soins, l'éducation et des prestations pécuniaires (al. 1). Les parents contribuent ensemble, chacun selon ses facultés, à l'entretien convenable de l'enfant et assument en particulier les frais de sa prise en charge, de son éducation, de sa formation et des mesures prises pour le protéger (al. 2). La contribution d'entretien doit correspondre aux besoins de l'enfant ainsi qu'à la situation et aux ressources des père et mère (art. 285 al. 1 CC). Elle sert également à garantir la prise en charge de l'enfant par les parents et les tiers (art. 285 al. 2 CC). La contribution de prise en charge vise à compenser la perte ou la réduction de capacité de gain du parent qui s'occupe de l'enfant (ATF 144 III 377 consid. 7.1.2.2). Les besoins de l'enfant doivent être répartis entre les père et mère en fonction de leurs capacités contributives respectives (arrêts du Tribunal fédéral 5A_583/2018 du 18 janvier 2019 consid. 5.1; 5A_119/2017 du 30 août 2017 consid. 7.1). Si l'enfant est sous la garde exclusive de l'un des parents, vit dans le ménage de ce dernier et ne voit l'autre parent que dans le cadre de l'exercice du droit aux relations personnelles, le parent gardien apporte sa contribution à l'entretien de l'enfant "en nature", en s'occupant de l'enfant et en l'élevant. Dans un tel cas, le versement d'une contribution d'entretien incombe en principe entièrement à l'autre parent (ATF 147 III 265 consid. 5.5 et 8.1). 2.1.2 Selon la méthode de calcul uniforme des contributions d'entretien du droit de la famille fixée par le Tribunal fédéral (ATF 147 III 265 in SJ 2021 I 316; 147 III 293 et 147 III 301), soit la méthode du minimum vital avec répartition de l'excédent (dite en deux étapes), il convient, d'une part, de déterminer les moyens financiers à disposition, à savoir les revenus effectifs ou hypothétiques et, d'autre part, de déterminer les besoins de la personne dont l'entretien est examiné (entretien convenable). Les ressources à disposition sont ensuite réparties entre les différents membres de la famille, selon un certain ordre de priorité, de manière à couvrir le minimum vital du droit des poursuites, respectivement en cas de</w:t>
      </w:r>
    </w:p>
    <w:p>
      <w:r>
        <w:t>- 7/12 -</w:t>
      </w:r>
    </w:p>
    <w:p>
      <w:r>
        <w:t>C/27061/2020 moyens suffisants, le minimum vital du droit de la famille. Enfin, l'éventuel excédent est réparti par "grandes et petites têtes", soit à raison de deux parts par adulte et d'une part par enfant mineur, ou de manière équitable en fonction de la situation concrète, en tenant compte de toutes les circonstances entourant la prise en charge de l'enfant et des particularités du cas d'espèce (ATF 147 III 265 consid. 7). La fixation de la contribution d'entretien relève de l'appréciation du juge, qui jouit d'un large pouvoir d'appréciation et applique les règles du droit et de l'équité (art.</w:t>
      </w:r>
    </w:p>
    <w:p>
      <w:r>
        <w:rPr>
          <w:b/>
        </w:rPr>
        <w:t>E. 2.2</w:t>
      </w:r>
    </w:p>
    <w:p>
      <w:r>
        <w:t>En l'espèce, dans la mesure où la mère assure l'essentiel des soins et de l'encadrement de B______, c'est à bon droit que l'intégralité du coût d'entretien de celui-ci a été mis à la charge du père, ce qui n'est d'ailleurs pas contesté. La question d'une éventuelle contribution de prise en charge (art. 285 al. 2 CC) n'a pas été examinée par le premier juge. Cela n'est à juste titre pas remis en cause, puisque l'absence de ressources propres de la mère n'apparaît pas liée à la prise en charge de ses enfants. En effet, B______ fréquente la crèche deux jours par semaine et son demi-frère D______, âgé de 12 ans, est scolarisé. Seules les situations financières de B______ et de son père seront dès lors examinées ci-après.</w:t>
      </w:r>
    </w:p>
    <w:p>
      <w:r>
        <w:rPr>
          <w:b/>
        </w:rPr>
        <w:t>E. 2.2.1</w:t>
      </w:r>
    </w:p>
    <w:p>
      <w:r>
        <w:t>En ce qui concerne le budget de l'enfant, il se justifie d'inclure les frais de sa prise en charge par une accueillante familiale de jour, puisque rien ne permet de retenir qu'ils seraient couverts par une assurance. Ceux-ci sont vraisemblablement pris en charge par l'Hospice général et l'aide sociale est subsidiaire aux obligations relevant du droit de la famille. Les charges de B______ totalisent ainsi 1'215 fr., ce qui comprend 400 fr. d'entretien de base OP, 225 fr. de part aux frais de logement de la mère (15% de 1'500 fr.) et 590 fr. environ de frais de garde [(501 fr. 50 + 562 fr. + 703 fr. 50) / 3]. Il est admis que la prime d'assurance-maladie de B______ est entièrement couverte par un subside, de sorte qu'aucun montant ne sera retenu à ce titre. Après déduction des allocations familiales, les besoins de l'enfant s'élèvent à 915 fr. par mois jusqu'à fin août 2024, moment à partir duquel il sera en âge d'intégrer l'école obligatoire. Le retard du développement et les troubles du spectre de l'autisme dont est atteint B______ engendrent de nombreuses incertitudes au sujet des frais à inclure dans son budget pour l'avenir (en particulier, éventuelle fréquentation d'une institution spécialisée, possible prise en charge de certains frais, tels que l'écolage, par l'assurance-invalidité). Par conséquent, à partir de septembre 2024, le budget de l'enfant, sera, en l'état, limité aux charges connues, soit 400 fr. d'entretien de base (puis 600 fr. dès l'âge de 10 ans) et 225 fr. de part au loyer de la mère. Après déduction des allocations familiales, les besoins de l'enfant s'élèveront dès lors à 325 fr. dès septembre 2024, puis à 525 fr. dès le mois de juin 2030.</w:t>
      </w:r>
    </w:p>
    <w:p>
      <w:r>
        <w:rPr>
          <w:b/>
        </w:rPr>
        <w:t>E. 2.2.2</w:t>
      </w:r>
    </w:p>
    <w:p>
      <w:r>
        <w:t>L'intimé perçoit un salaire mensuel net de 6'175 fr. par mois, 13ème salaire compris et impôts à la source déduits (5'700 fr. x 13 / 12), à teneur des éléments résultant du dossier de première instance. Faute d'informations actualisées au sujet de sa situation financière – le sort de l'enquête administrative et ses conséquences sur les revenus du précité étant inconnus – le montant susmentionné sera pris en compte pour déterminer la capacité contributive de l'intéressé.</w:t>
      </w:r>
    </w:p>
    <w:p>
      <w:r>
        <w:t>- 9/12 -</w:t>
      </w:r>
    </w:p>
    <w:p>
      <w:r>
        <w:t>C/27061/2020 Point n'est besoin d'examiner dans le détail quelles charges alléguées par l'intéressé sont admissibles dans son minimum vital, ce d'autant plus qu'elles n'ont pas été remises en question par les appelants. L'intimé a invoqué un montant total de l'ordre de 4'870 fr., de sorte que son budget présente un solde positif d'au minimum 1'305 fr. (6'175 fr. – 4'870 fr.). Ce montant est suffisant pour couvrir les besoins de son fils B______.</w:t>
      </w:r>
    </w:p>
    <w:p>
      <w:r>
        <w:rPr>
          <w:b/>
        </w:rPr>
        <w:t>E. 2.3</w:t>
      </w:r>
    </w:p>
    <w:p>
      <w:r>
        <w:t>Après couverture des besoins de l'enfant, l'intimé bénéficie encore d'un solde de 390 fr. (1'305 fr. – 915 fr.) du 30 mai 2020 au 31 août 2024, 980 fr. (1'305 fr. – 325 fr.) du 1er septembre 2024 au 31 mai 2030, et 780 fr. (1'305 fr. – 525 fr.) dès le 1er juin 2030. L'enfant pouvant participer à cet excédent à raison d'un cinquième, la pension alimentaire due par le père en sa faveur sera arrêtée aux montants arrondis, allocations familiales non comprises, de 1'000 fr. (915 fr. + 1/5 de 390 fr.) du 30 mai 2020 au 31 août 2024, 520 fr. (325 fr. + 1/5 de 980 fr.) du 1er septembre 2024 au 31 mai 2030, puis 700 fr. (525 fr. + 1/5 de 780 fr.) dès le 1er juin 2030 jusqu'à sa majorité, voire au-delà, en cas de formation ou d'études sérieuses et régulières. Les différents montants fixés ci-dessus sont équitables, au regard des ressources de l'intimé et des besoins connus de B______, à ce stade. Il appartiendra aux appelants d'agir en modification de la contribution d'entretien due par le père suivant l'évolution de la situation de B______ à l'avenir et son impact sur le plan financier. Dans la mesure où la mère a reconnu que le père avait contribué à l'entretien de B______ par le versement d'un montant unique de 300 fr., il y a lieu de déduire ce montant de l'arriéré de pensions alimentaires dû par l'intéressé. Pour la période du 30 mai 2020 au 30 juin 2022, l'intimé doit dès lors verser en mains de la mère de B______ un montant total de 24'700 fr. (1'000 fr. x 25 mois – 300 fr.). Le chiffre 3 du dispositif du jugement entrepris sera annulé et il sera statué dans le sens qui précède. 3. 3.1 L'annulation partielle du jugement attaqué ne commande pas de revoir la décision du Tribunal sur les frais (art. 318 al. 3 CPC), laquelle ne fait l'objet d'aucun grief motivé en appel. 3.2 Les frais judiciaires d'appel seront arrêtés à 500 fr. (art. 95 al. 1 let. a et al. 2, 96, 104 al. 1 et 105 al. 1 CPC; art. 32 et 35 RTFMC). Compte tenu de la nature familiale du litige, ils seront répartis à parts égales entre les parties (art. 107 al. 1 let. c CPC). Les appelants plaidant au bénéfice de l'assistance judiciaire, leur part des frais sera provisoirement supportée par l'Etat de Genève (art. 122 al. 1 let. b, 123 al. 1 CPC et 19 RAJ). L'intimé sera condamné à payer 250 fr. à l'Etat de Genève, soit pour lui les Services financiers du Pouvoir judiciaire.</w:t>
      </w:r>
    </w:p>
    <w:p>
      <w:r>
        <w:t>- 10/12 -</w:t>
      </w:r>
    </w:p>
    <w:p>
      <w:r>
        <w:t>C/27061/2020 Pour le même motif, chaque partie supportera ses propres dépens d'appel (art. 107 al. 1 let. c CPC). * * * * *</w:t>
      </w:r>
    </w:p>
    <w:p>
      <w:r>
        <w:t>- 11/12 -</w:t>
      </w:r>
    </w:p>
    <w:p>
      <w:r>
        <w:t>C/27061/2020 PAR CES MOTIFS, La Chambre civile : A la forme : Déclare recevable l'appel interjeté le 1er novembre 2021 par A______ et l'enfant B______, représenté par sa mère, contre le jugement JTPI/12339/2021 rendu le 28 septembre 2021 par le Tribunal de première instance dans la cause C/27061/2020. Au fond : Annule le chiffre 3 du dispositif du jugement attaqué et statuant à nouveau sur ce point: Condamne C______ à verser en mains de A______ un montant total de 24'700 fr. au titre de solde de contribution à l'entretien de B______ pour la période du 30 mai 2020 au 30 juin 2022. Condamne C______ à verser, par mois et d'avance, en mains de A______, à titre de contribution à l'entretien de B______, allocations familiales non comprises, le montant de 1'000 fr. du 1er juillet 2022 au 31 août 2024, 520 fr. du 1er septembre 2024 au 31 mai 2030, puis 700 fr. du 1er juin 2030 jusqu'à la majorité de l'enfant, voire au-delà en cas de formation ou d'études sérieuses et régulières suivies. Confirme le jugement entrepris pour le surplus. Déboute les parties de toutes autres conclusions. Sur les frais : Arrête les frais judiciaires d'appel à 500 fr. et les met à la charge des parties pour moitié chacune. Dit que la somme de 250 fr. mise à la charge de A______ et B______ est provisoirement supportée par l'Etat de Genève, sous réserve d'une décision de l'Assistance juridique. Condamne C______ à verser 250 fr. à l'Etat de Genève, soit pour les Services financiers du Pouvoir judiciaire, à titre de frais judiciaires d'appel.</w:t>
      </w:r>
    </w:p>
    <w:p>
      <w:r>
        <w:t>- 12/12 -</w:t>
      </w:r>
    </w:p>
    <w:p>
      <w:r>
        <w:t>C/27061/2020</w:t>
      </w:r>
    </w:p>
    <w:p>
      <w:r>
        <w:t>Dit qu'il n'est pas alloué de dépens. Siégeant : Monsieur Cédric-Laurent MICHEL, président; Madame Pauline ERARD, Madame Paola CAMPOMAGNANI, juges; Madame Camille LESTEVEN, greffière.</w:t>
      </w:r>
    </w:p>
    <w:p>
      <w:r>
        <w:t>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4</w:t>
      </w:r>
    </w:p>
    <w:p>
      <w:r>
        <w:t>CC; ATF 140 III 337 consid. 4.2.2; 134 III 577 consid. 4; 128 III 411 consid. 3.2.2). Dans tous les cas, le minimum vital du droit des poursuites du débirentier doit être préservé (ATF 147 III 265 précité consid. 7.3).</w:t>
      </w:r>
    </w:p>
    <w:p>
      <w:r>
        <w:t>2.1.3 Lors de la fixation de la contribution d'entretien en faveur de l'enfant, le juge doit tenir compte des revenus effectifs des parties (arrêt du Tribunal fédéral 5A_513/2012 du 17 octobre 2012 consid. 4). L'aide sociale, qui est subsidiaire aux contributions du droit de la famille, ne constitue cependant pas un revenu (arrêts du Tribunal fédéral 5A_158/2010 du 25 mars 2010 consid. 3.2; 5A_170/2007 du 27 juin 2007 consid. 4, in FamPra.ch 2007 p. 895 et les références citées). Le subside de l'assurance-maladie ne constitue pas de l'aide sociale (cf. ACJC/1621/2021 du 6 décembre 2021 consid. 6.8; ACJC/172/2019 du 5 février 2019 consid. 2.2 2.1.4 Dans le calcul des besoins, le point de départ est le minimum vital du droit des poursuites, comprenant l'entretien de base selon les normes d'insaisissabilité (NI 2021,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(ATF 147 III 265 consid. 7.2). Dans la mesure où les ressources financières le permettent, l'entretien convenable doit être élargi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financière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(ATF 147 III 265 consid. 7.2).</w:t>
      </w:r>
    </w:p>
    <w:p>
      <w:r>
        <w:t>- 8/12 -</w:t>
      </w:r>
    </w:p>
    <w:p>
      <w:r>
        <w:t>C/27061/2020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