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ACJC/957/2018 vom 31. Juli 2018</w:t>
      </w:r>
    </w:p>
    <w:p>
      <w:r>
        <w:t>GE Cour de justice, 2018-07-31, FR</w:t>
      </w:r>
    </w:p>
    <w:p>
      <w:r>
        <w:rPr>
          <w:b/>
        </w:rPr>
        <w:t xml:space="preserve">Quelle: </w:t>
      </w:r>
      <w:r>
        <w:t>https://mcp.opencaselaw.ch/entscheid/ge_gerichte_ACJC_957_2018</w:t>
      </w:r>
    </w:p>
    <w:p>
      <w:r>
        <w:t>FR: GE_GERICHTE ACJC/957/2018 du 31 juillet 2018</w:t>
      </w:r>
    </w:p>
    <w:p>
      <w:r>
        <w:t>IT: GE_GERICHTE ACJC/957/2018 del 31 luglio 2018</w:t>
      </w:r>
    </w:p>
    <w:p>
      <w:pPr>
        <w:pStyle w:val="Heading2"/>
      </w:pPr>
      <w:r>
        <w:t>Erwägungen</w:t>
      </w:r>
    </w:p>
    <w:p>
      <w:r>
        <w:rPr>
          <w:b/>
        </w:rPr>
        <w:t>E. 1.1</w:t>
      </w:r>
    </w:p>
    <w:p>
      <w:r>
        <w:t>En matière de mainlevée d'opposition, seule la voie du recours est ouverte (art. 309 let. b ch. 3 et 319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grief au Tribunal d'avoir rejeté sa requête sans examiner les pièces qu'elle avait régulièrement produites devant lui, lesquelles constituaient une reconnaissance de dette, démontraient, a contrario, que la prestation contractuelle avait été fournie et prouvaient la réalité des montant en poursuite. Les frais de démontage et administratifs étaient également dus au regard des conditions générales.</w:t>
      </w:r>
    </w:p>
    <w:p>
      <w:r>
        <w:t>Le Tribunal aurait donc dû constater l'existence d'un titre de mainlevée, l'absence d'objections libérant immédiatement l'intimé, et faire droit à sa requête.</w:t>
      </w:r>
    </w:p>
    <w:p>
      <w:r>
        <w:t>- 5/9 -</w:t>
      </w:r>
    </w:p>
    <w:p>
      <w:r>
        <w:t>C/23253/2017</w:t>
      </w:r>
    </w:p>
    <w:p>
      <w:r>
        <w:t>Par ailleurs, les objections de l'intimé, invoquées pour la première fois devant la Cour, ne résistaient pas à l'examen et ne justifiaient nullement la confirmation du jugement querellé.</w:t>
      </w:r>
    </w:p>
    <w:p>
      <w:r>
        <w:rPr>
          <w:b/>
        </w:rPr>
        <w:t>E. 2.1</w:t>
      </w:r>
    </w:p>
    <w:p>
      <w:r>
        <w:t>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w:t>
      </w:r>
    </w:p>
    <w:p>
      <w:r>
        <w:rPr>
          <w:b/>
        </w:rPr>
        <w:t>E. 2.2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La reconnaissance de dette peut découler du rapprochement de plusieurs pièces, pour autant que les éléments nécessaires en résultent (KRAUSKOPF, La mainlevée provisoire : quelques jurisprudences récentes, in JT 2008 II 23ss, p. 25). 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(ACJC/721/15, consid. 2.1 et les références citées).</w:t>
      </w:r>
    </w:p>
    <w:p>
      <w:r>
        <w:rPr>
          <w:b/>
        </w:rPr>
        <w:t>E. 2.3</w:t>
      </w:r>
    </w:p>
    <w:p>
      <w:r>
        <w:t>Le poursuivi peut faire échec à la mainlevée en rendant immédiatement vraisemblable sa libération (art. 82 al. 2 LP; arrêt du Tribunal fédéral 5A_577/2013 du 7 octobre 2013 consid. 4.3.1; 5A_878/2011 du 5 mars 2012 consid. 2.2; ATF 96 I 4 consid. 2), en se prévalant de tous les moyens de droit civil - exceptions ou objections - qui infirment la reconnaissance de dette (ATF</w:t>
      </w:r>
    </w:p>
    <w:p>
      <w:r>
        <w:t>- 6/9 -</w:t>
      </w:r>
    </w:p>
    <w:p>
      <w:r>
        <w:t>C/23253/2017 131 III 268 consid. 3.2), notamment l'inexistence ou l'extinction de la dette (arrêt du Tribunal fédéral 5A_465/2014 du 20 août 2014 consid. 7.2.1.3) et il n'a pas à apporter la preuve absolue (ou stricte) de ses moyens libératoires, mais seulement à les rendre vraisemblables, en principe par titre (art. 254 al. 1 CPC; arrêt du Tribunal fédéral 5A_878/2011 du 5 mars 2012 consid. 2.2).</w:t>
      </w:r>
    </w:p>
    <w:p>
      <w:r>
        <w:rPr>
          <w:b/>
        </w:rPr>
        <w:t>E. 2.4</w:t>
      </w:r>
    </w:p>
    <w:p>
      <w:r>
        <w:t>En l’espèce, le contrat du 18 mai 2016, signé par les deux parties et établi pour une durée ferme de 48 mois, associé au procès-verbal de livraison de matériels du 23 juin 2016, signé par les mêmes parties, vaut reconnaissance de dette, contrairement à ce que le Tribunal a retenu.</w:t>
      </w:r>
    </w:p>
    <w:p>
      <w:r>
        <w:t>Le montant en poursuite est par ailleurs établi en tant qu'il porte sur la période totale du contrat de 48 mois, puisque l'intimé n'a versé aucune mensualité (48 x 117 fr. 10 = 5'649 fr. 60) et la résiliation du contrat du 11 mai 2017 a rendu ce montant immédiatement exigible.</w:t>
      </w:r>
    </w:p>
    <w:p>
      <w:r>
        <w:t>Les objections de l'intimé, communiquées pour la première fois en instance de recours, ne font pas échec à la mainlevée provisoire car aucun titre ne vient les soutenir, de sorte qu'elles ne sont pas rendues vraisemblables. Au contraire, versé selon ses dires dans le domaine de l'assurance et bénéficiaire des prestations de la recourante depuis de nombreuses années, l'intimé ne pouvait ignorer le contenu des clauses contractuelles qu'il a signées et la modification de sa situation personnelle ne constitue pas un obstacle à la mainlevée sollicitée.</w:t>
      </w:r>
    </w:p>
    <w:p>
      <w:r>
        <w:t>Le jugement querellé doit par conséquent être annulé et la mainlevée de l'opposition formée au commandement de payer litigieux sera prononcée avec intérêts à 5% dès le 11 mai 2017, date de la résiliation, mais à concurrence du poste principal seulement, les frais de reprises du matériel n'étant ni détaillés, ni précisés, ni justifiés, de sorte que le détail de la créance déduite en poursuite n'est pas établi. Les frais du commandement de payer suivent par ailleurs le sort de la poursuite (art. 68 al. 1 LP), de sorte qu'ils ne font pas l'objet de la mainlevée d'opposition.</w:t>
      </w:r>
    </w:p>
    <w:p>
      <w:r>
        <w:rPr>
          <w:b/>
        </w:rPr>
        <w:t>E. 3</w:t>
      </w:r>
    </w:p>
    <w:p>
      <w:r>
        <w:t>L'intimé, qui succombe pour l'essentiel, sera condamné aux frais judiciaires des deux instances (art. 106 al. 1 CPC). Les frais judiciaires seront arrêtés à 300 fr. pour la première instance et à 450 fr. pour le recours (art. 48 et 61 OELP) et compensés avec les avances versées par la recourante, lesquelles resteront acquises à l'Etat de Genève.</w:t>
      </w:r>
    </w:p>
    <w:p>
      <w:r>
        <w:t>L'intimé sera condamné à verser 750 fr. à la recourante à titre de frais judiciaires.</w:t>
      </w:r>
    </w:p>
    <w:p>
      <w:r>
        <w:t>Aucun dépens ne sera alloué pour la procédure de première instance, puisque la recourante a procédé en personne et les démarches qu'elle a effectuées ne justifient pas l'allocation de dépens (art. 95 al. 3 let. c CPC).</w:t>
      </w:r>
    </w:p>
    <w:p>
      <w:r>
        <w:t>- 7/9 -</w:t>
      </w:r>
    </w:p>
    <w:p>
      <w:r>
        <w:t>C/23253/2017</w:t>
      </w:r>
    </w:p>
    <w:p>
      <w:r>
        <w:t>L'intimé sera par contre condamné à verser à la recourante, représentée par un avocat dans le cadre de la procédure de recours, 500 fr. au titre des dépens de recours, débours et TVA compris (art. 85, 88, 89 et 90 RTFMC). * * * * *</w:t>
      </w:r>
    </w:p>
    <w:p>
      <w:r>
        <w:t>- 8/9 -</w:t>
      </w:r>
    </w:p>
    <w:p>
      <w:r>
        <w:t>C/23253/2017 PAR CES MOTIFS, La Chambre civile : A la forme : Déclare recevable le recours interjeté par A______ SARL contre le jugement JTPI/3834/2018 rendu le 2 mars 2018 par le Tribunal de première instance dans la cause C/23253/2017-3 SML. Au fond : Annule ce jugement. Et, statuant à nouveau : Prononce la mainlevée provisoire de l'opposition formée au commandement de payer, poursuite n° 1______, à concurrence de 5'649 fr. 60, plus intérêts à 5% dès le 11 mai 2017. Déboute les parties de toutes autres conclusions. Sur les frais : Arrête à 750 fr. les frais judiciaires de première instance et de recours, les met à charge de B______ et les compense avec les avances effectuées par A______ SARL qui restent acquises à l'Etat de Genève. Condamne B______ à verser 750 fr. à A______ SARL au titre des frais judiciaires de première instance et de recours. Condamne B______ à verser 500 fr. à A______ SARL à titre de dépens de recours. Siégeant : Madame Fabienne GEISINGER-MARIETHOZ, présidente; Monsieur Laurent RIEBEN, juge; Monsieur Louis PEILA, juge suppléant; Madame Fatina SCHAERER, greffière.</w:t>
      </w:r>
    </w:p>
    <w:p>
      <w:r>
        <w:t>La présidente : Fabienne GEISINGER-MARIETHOZ</w:t>
      </w:r>
    </w:p>
    <w:p>
      <w:r>
        <w:t>La greffière : Fatina SCHAERER</w:t>
      </w:r>
    </w:p>
    <w:p>
      <w:r>
        <w:t>- 9/9 -</w:t>
      </w:r>
    </w:p>
    <w:p>
      <w:r>
        <w:t>C/23253/2017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