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ACJC/954/2013 vom 7. August 2013</w:t>
      </w:r>
    </w:p>
    <w:p>
      <w:r>
        <w:t>GE Cour de justice, 2013-08-07, FR</w:t>
      </w:r>
    </w:p>
    <w:p>
      <w:r>
        <w:rPr>
          <w:b/>
        </w:rPr>
        <w:t xml:space="preserve">Quelle: </w:t>
      </w:r>
      <w:r>
        <w:t>https://mcp.opencaselaw.ch/entscheid/ge_gerichte_ACJC_954_2013</w:t>
      </w:r>
    </w:p>
    <w:p>
      <w:r>
        <w:t>FR: GE_GERICHTE ACJC/954/2013 du 7 août 2013</w:t>
      </w:r>
    </w:p>
    <w:p>
      <w:r>
        <w:t>IT: GE_GERICHTE ACJC/954/2013 del 7 agosto 2013</w:t>
      </w:r>
    </w:p>
    <w:p>
      <w:pPr>
        <w:pStyle w:val="Heading2"/>
      </w:pPr>
      <w:r>
        <w:t>Erwägungen</w:t>
      </w:r>
    </w:p>
    <w:p>
      <w:r>
        <w:rPr>
          <w:b/>
        </w:rPr>
        <w:t>E. 1</w:t>
      </w:r>
    </w:p>
    <w:p>
      <w:r>
        <w:t>Le jugement querellé a été communiqué aux parties le 28 septembre 2012, en sorte que la présente procédure est soumise au nouveau droit, en application de l'art. 405 al. 1 CPC, selon lequel les «recours» sont régis par le droit en vigueur au moment de la communication de la décision aux parties.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du litige est déterminée par les conclusions, la valeur résultant des conclusions subsidiaires n'étant pas prise en compte (art. 91 al. 1 CPC). La valeur litigieuse au dernier état des conclusions est supérieure au montant minimum de 10'000 fr. pour la recevabilité d'un appel. En conséquence, cette voie est ouverte contre la décision entreprise. L'appel formé respecte le délai indiqué dans la décision, celui de l'art 311 al. 1 CPC, et en outre les conditions de forme; il est conséquemment recevable. L'appel sera déclaré fondé en cas de violation du droit ou de constatation inexacte des faits, selon l'art. 310 let. a et b CPC.</w:t>
      </w:r>
    </w:p>
    <w:p>
      <w:r>
        <w:rPr>
          <w:b/>
        </w:rPr>
        <w:t>E. 2</w:t>
      </w:r>
    </w:p>
    <w:p>
      <w:r>
        <w:t>L'appelante fait grief aux premiers juges d'avoir pris en considération les statistiques d'appartements situés en Ville de Genève, alors que des statistiques plus précises d'appartements de 3 et 4 pièces situés dans le secteur E.______ – F.______, lieu de situation de l'appartement concerné, existent. En application de ces dernières statistiques, le loyer mensuel moyen des logements non neufs à loyer libre dont le locataire a changé durant les 12 derniers mois, s'élève à 1'410 fr. pour un logement de 3 pièces, respectivement 2'086 fr. pour un logement de 4 pièces et à 26.95 fr. / m2 pour un appartement de 2 pièces ou plus, soit en l'espèce un loyer mensuel de 1'886 fr. 50 pour l'appartement concerné de 70 m2. S'agissant de la pondération avec les statistiques des baux en cours relatives à l'année de construction, l'appelante considère que les statistiques des baux en cours en Ville de Genève relatives à l'année de construction de l'immeuble doivent être abandonnées au profit des données statistiques existantes des appartements non neufs à loyer libre dont le locataire a changé durant les 12 derniers mois dans le secteur de E.______ – F.______. Selon ces dernières statistiques, le loyer</w:t>
      </w:r>
    </w:p>
    <w:p>
      <w:r>
        <w:t>- 7/10 -</w:t>
      </w:r>
    </w:p>
    <w:p>
      <w:r>
        <w:t>C/29886/2008 mensuel s'élève à 1'454 fr. pour un logement de 3 pièces, respectivement 1'981 fr. pour un appartement de 4 pièces. De jurisprudence constante, la Cour de justice admet que le juge détermine le montant du loyer admissible en se référant aux statistiques éditées par l'Office cantonal de la statistique (OCSTAT), en tenant compte de leurs lacunes (arrêt du Tribunal fédéral 4A_472 2007; ATF 123 III 317), par le biais de réajustements destinés à prendre en considération les particularités de l'objet loué. En outre, eu égard à la marge d'appréciation dont le juge dispose en la matière, elle considère qu'il est possible de se référer à une valeur moyenne (ACJC/865/2007). En règle générale, dans la mesure où les statistiques relatives aux logements loués à de nouveaux locataires au cours des douze derniers mois ne tiennent pas compte de la date de construction de l'immeuble, ni des caractéristiques du cas particulier, il y a lieu de compléter l'élément statistique résultant des baux les plus récents en procédant à une pondération avec les chiffres statistiques des baux en cours (ACJC/702/2009). Le Tribunal est arrivé à une moyenne statistique de 1'305 fr., en prenant en considération : - la statistique portant sur l'année 2008 relative à un appartement de 3 pièces non neuf à loyer libre situé en Ville de Genève loué à de nouveaux locataires au cours des douze derniers mois, qui établit le loyer mensuel moyen à 1'334 fr. (OCSTAT, Tableau T 05.04.2.03); - le loyer statistique moyen selon le mètre carré pour des logements de</w:t>
      </w:r>
    </w:p>
    <w:p>
      <w:r>
        <w:rPr>
          <w:b/>
        </w:rPr>
        <w:t>E. 3</w:t>
      </w:r>
    </w:p>
    <w:p>
      <w:r>
        <w:t>L'appelante soutient qu'au vu des caractéristiques propres de l'appartement concerné, il n'y a pas lieu de s'écarter de la moyenne statistique, subsidiairement de s'en écarter que très légèrement. L'appartement peut être qualifié de moyen, dans l'ensemble en bon état avec des équipements parfaitement fonctionnels. L'exposition au bruit est parfaitement usuelle s'agissant d'un appartement situé en ville. Au vu des doubles vitrages, l'appartement est calme, lorsque les fenêtres sont fermées. Après avoir réduit le loyer initial en tenant en compte des statistiques cantonales des loyers pratiqués dans une localité ou dans un quartier, le juge doit procéder aux ajustements liés à la particularité du logement (ACJC/1466/2010 consid. 4.2; ACJC/812/2010 consid. 3.3; ACJC/579/2010 consid. 3.1; ACJC/1296/2009 consid. 6.2; ACJC/1314/2007 consid. 3.3; ACJC/1437/2006 consid. 3.2) notamment son état d'entretien et l'année de construction (art. 11 al. 1 OBLF). Le juge dispose d'un pouvoir d'appréciation important dans la réduction du loyer initial, qui est néanmoins moins étendu qu'en cas de nullité partielle du bail en tant qu'il est limité à la fixation d'un loyer non abusif (ATF 124 III 62 consid. 2a; ATF 120 II 341 consid. 6c; arrêt du Tribunal fédéral 4A_129/2008 consid. 2.3 = DB 2009 no 21, p. 39).</w:t>
      </w:r>
    </w:p>
    <w:p>
      <w:r>
        <w:t>- 9/10 -</w:t>
      </w:r>
    </w:p>
    <w:p>
      <w:r>
        <w:t>C/29886/2008 Le Tribunal s'est très légèrement écarté de la moyenne statistique (1'305 fr.) en réduisant le loyer à 1'280 fr. par mois, soit 15'360 fr. par an, charges non comprises. Il a certes considéré que l'immeuble concerné est situé dans un quartier agréable, à proximité de commerces et des transports publics, et que l'enveloppe du bâtiment, qui a fait l'objet d'importants travaux en 2000, est en bon état général. Toutefois, il a retenu l'état moyen de l'appartement, dont la cuisine (modestement agencée et équipée d’un seul frigo), la salle de bain et le WC séparé sont anciens, ainsi que la proximité d'un carrefour bruyant dont le trafic est fortement audible fenêtres ouvertes et que le logement n'est pas traversant. Au vu de ce qui précède et du large pouvoir d'appréciation dont dispose le juge, la légère réduction du loyer par les premiers juges n'est pas critiquable, d'autant moins que les premiers juges n'ont pas pris en considération dans leur appréciation certains autres éléments justifiant amplement la réduction du loyer opérée, soit la porte palière vétuste, le système électrique manifestement vétuste bien que fonctionnel, le rafraîchissement des peintures du logement, boiseries incluses, à l'exception de la cuisine, réalisé par les locataires eux-mêmes et à leurs frais, les traces de pollution visibles sur les caissons des stores du salon et vers la fenêtre de la cuisine, la peinture vétuste du radiateur du salon, le léger affaissement du parquet et les trous dans certaines lattes du couloir, le carrelage au sol ancien mais en bon état dans l'ensemble dans la cuisine, les impacts sur certaines catelles et la ventilation d'origine à la cuisine, la salle de bain ancienne (y compris la ventilation et les sanitaires) et de petite dimension comprenant des catelles fissurées par endroit de même que la peinture, le WC ancien (y compris les peintures, la tuyauterie et les catelles avec des fissures) avec un carrelage ancien dans l'ensemble en bon état sauf quelques carreaux abîmés près des toilettes. La légère réduction de la moyenne statistique opérée par les premiers juges à hauteur de 2% est donc pleinement justifiée et conforme à la jurisprudence.</w:t>
      </w:r>
    </w:p>
    <w:p>
      <w:r>
        <w:rPr>
          <w:b/>
        </w:rPr>
        <w:t>E. 4</w:t>
      </w:r>
    </w:p>
    <w:p>
      <w:r>
        <w:t>L'appel est mal fondé et le jugement entrepris est confirmé.</w:t>
      </w:r>
    </w:p>
    <w:p>
      <w:r>
        <w:rPr>
          <w:b/>
        </w:rPr>
        <w:t>E. 5</w:t>
      </w:r>
    </w:p>
    <w:p>
      <w:r>
        <w:t>En application de l'art. 22 al. 1 LaCC, la procédure est gratuite et il n'est pas alloué de dépens.</w:t>
      </w:r>
    </w:p>
    <w:p>
      <w:r>
        <w:rPr>
          <w:b/>
        </w:rPr>
        <w:t>E. 6</w:t>
      </w:r>
    </w:p>
    <w:p>
      <w:r>
        <w:t>La valeur litigieuse selon les conclusions prises en appel par les parties s'avère supérieure à 15'000 fr. au sens de la LTF. * * * * * PAR CES MOTIFS, La Chambre des baux et loyers : A la forme :</w:t>
      </w:r>
    </w:p>
    <w:p>
      <w:r>
        <w:t>- 10/10 -</w:t>
      </w:r>
    </w:p>
    <w:p>
      <w:r>
        <w:t>C/29886/2008 Déclare recevable l'appel formé par A.______ SA à l'encontre du jugement JTBL/1045/2012 rendu par le Tribunal des baux et loyers le 21 septembre 2012 dans la cause C/29886/2008-1 L. Au fond : Confirme ce jugement. Dit que la procédure est gratuite. Déboute les parties de toutes autres conclusions. Siégeant : Monsieur Pierre CURTIN, président; Madame Sylvie DROIN et Madame Daniela CHIABUDINI, juges; Monsieur Alain MAUNOIR et Monsieur Pierre DAUDIN,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