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ACJC/951/2024 vom 25. Juli 2024</w:t>
      </w:r>
    </w:p>
    <w:p>
      <w:r>
        <w:t>GE Cour de justice, 2024-07-25, FR</w:t>
      </w:r>
    </w:p>
    <w:p>
      <w:r>
        <w:rPr>
          <w:b/>
        </w:rPr>
        <w:t xml:space="preserve">Quelle: </w:t>
      </w:r>
      <w:r>
        <w:t>https://mcp.opencaselaw.ch/entscheid/ge_gerichte_ACJC_951_2024</w:t>
      </w:r>
    </w:p>
    <w:p>
      <w:r>
        <w:t>FR: GE_GERICHTE ACJC/951/2024 du 25 juillet 2024</w:t>
      </w:r>
    </w:p>
    <w:p>
      <w:r>
        <w:t>IT: GE_GERICHTE ACJC/951/2024 del 25 luglio 2024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 JEANDIN, Commentaire Romand, Code de procédure civile 2ème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- 7/12 -</w:t>
      </w:r>
    </w:p>
    <w:p>
      <w:r>
        <w:t>C/461/2022</w:t>
      </w:r>
    </w:p>
    <w:p>
      <w:r>
        <w:rPr>
          <w:b/>
        </w:rPr>
        <w:t>E. 1.2</w:t>
      </w:r>
    </w:p>
    <w:p>
      <w:r>
        <w:t>En l'espèce, le loyer annuel de l’appartement, charges comprises, a été fixé par le contrat à 13'344 fr. En prenant en compte la durée de protection de trois ans et le montant du loyer, charges comprises, la valeur litigieuse est supérieure à 10'000 fr. (13'344 fr. x 3 ans = 40'032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 bailleur fait grief aux premiers juges de n’avoir pas retenu que la résiliation ordinaire du bail n’était pas contraire à la bonne foi. A plusieurs reprises, mais en tous cas le 3 décembre 2021, E______ s’était montré violent et menaçant envers d’autres locataires et il faisait régner une atmosphère de peur dans l’immeuble concerné. Le bailleur devait, selon lui, préserver la sécurité dans son immeuble et protéger les locataires.</w:t>
      </w:r>
    </w:p>
    <w:p>
      <w:r>
        <w:rPr>
          <w:b/>
        </w:rPr>
        <w:t>E. 2.1</w:t>
      </w:r>
    </w:p>
    <w:p>
      <w:r>
        <w:t>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2019, p. 958ss).</w:t>
      </w:r>
    </w:p>
    <w:p>
      <w:r>
        <w:t>- 8/12 -</w:t>
      </w:r>
    </w:p>
    <w:p>
      <w:r>
        <w:t>C/461/2022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w:t>
      </w:r>
    </w:p>
    <w:p>
      <w:r>
        <w:rPr>
          <w:b/>
        </w:rPr>
        <w:t>E. 2.2</w:t>
      </w:r>
    </w:p>
    <w:p>
      <w:r>
        <w:t>En l’espèce, le motif du congé réside dans le comportement reproché au compagnon de la locataire du 3 décembre 2021. Les premiers juges ont retenu que E______ avait fait opposition à sa condamnation pour voies de fait par ordonnance pénale, l’affaire étant pendante devant le Tribunal de police. Quant à l’infraction d’injure à son encontre, une ordonnance de non-entrée en matière avait été rendue. G______ a été condamnée pour injure envers E______.</w:t>
      </w:r>
    </w:p>
    <w:p>
      <w:r>
        <w:t>- 10/12 -</w:t>
      </w:r>
    </w:p>
    <w:p>
      <w:r>
        <w:t>C/461/2022 Au vu de ce qui précède, le Tribunal a considéré que les circonstances de l’altercation n’étaient pas claires et que le déroulement de celle-ci était flou, des propos ayant été tenus de part et d’autre, dont certains avaient été probablement exagérés. De plus, personne n’avait été témoin de coup ni n’avait entendu d’injures échangées entre F______ et E______. Au vu des circonstances, les premiers juges ont retenu que le bailleur aurait dû contacter E______ afin d’entendre sa version des faits et le mettre en garde avant de résilier le bail. Le bailleur n’ayant pas formulé de reproche par le passé contre la locataire et son compagnon depuis 30 ans, respectivement 15 ans, il ne pouvait pas se fonder uniquement sur la version des faits de certains habitants de l’immeuble, contrairement à ce que soutient à tort le bailleur, ce qui est corroboré par le fait que sept autres voisins ont attesté n’avoir rencontré aucun problème avec eux. Le seul autre incident figurant à la procédure est la menace de mort qu’aurait proférée E______ à l’encontre de K______ en raison du bruit des enfants dans l’appartement de ce dernier après 22 heures. Si K______ a témoigné avoir été terrorisé puis avoir déménagé en raison de cet incident, il n’en demeure pas moins qu’il a quitté l’immeuble plus d’un an après cet événement, également pour le motif de la taille de son logement. Sa déclaration selon laquelle E______ lui aurait montré une cicatrice sur son abdomen pour l’intimider est sujette à caution, puisqu’à teneur de la photo, ce dernier n’en aurait pas. Enfin, tous les voisins entendus par le Tribunal ont confirmé ne pas avoir rencontré de problème avec la locataire ou son compagnon, hormis les deux épisodes susmentionnés. Bien que J______ ait déclaré ne pas se sentir en sécurité depuis l’altercation du</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C/461/2022 PAR CES MOTIFS, La Chambre des baux et loyers : A la forme : Déclare recevable l’appel interjeté le 10 novembre 2023 par A______ contre le jugement rendu le 10 octobre 2023 par le Tribunal des baux et loyers dans la cause C/461/2022-15-OSB.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