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ACJC/94/2020 vom 25. Februar 2020</w:t>
      </w:r>
    </w:p>
    <w:p>
      <w:r>
        <w:t>GE Cour de justice, 2020-02-25, FR</w:t>
      </w:r>
    </w:p>
    <w:p>
      <w:r>
        <w:rPr>
          <w:b/>
        </w:rPr>
        <w:t xml:space="preserve">Quelle: </w:t>
      </w:r>
      <w:r>
        <w:t>https://mcp.opencaselaw.ch/entscheid/ge_gerichte_ACJC_94_2020</w:t>
      </w:r>
    </w:p>
    <w:p>
      <w:r>
        <w:t>FR: GE_GERICHTE ACJC/94/2020 du 25 février 2020</w:t>
      </w:r>
    </w:p>
    <w:p>
      <w:r>
        <w:t>IT: GE_GERICHTE ACJC/94/2020 del 25 febbraio 2020</w:t>
      </w:r>
    </w:p>
    <w:p>
      <w:pPr>
        <w:pStyle w:val="Heading2"/>
      </w:pPr>
      <w:r>
        <w:t>Erwägungen</w:t>
      </w:r>
    </w:p>
    <w:p>
      <w:r>
        <w:rPr>
          <w:b/>
        </w:rPr>
        <w:t>E. 1.1</w:t>
      </w:r>
    </w:p>
    <w:p>
      <w:r>
        <w:t>L'appel est recevable contre les décisions finales de première instance (art. 308 al. 1 let. a CPC), dans les causes non patrimoniales ou dans les affaires patrimoniales dont la valeur litigieuse s'élève à 10'000 fr. au moins (art. 308 al. 2 CPC). Les affaires portant sur la protection de la personnalité sont de nature non patrimoniale, sauf si la demande porte exclusivement sur des dommages et intérêts (ATF 142 III 145 consid. 6; 127 III 481 consid. 1). Tel n'est pas le cas en l'espèce, de sorte que la voie de l'appel est ouverte indépendamment d'une éventuelle valeur litigieuse.</w:t>
      </w:r>
    </w:p>
    <w:p>
      <w:r>
        <w:rPr>
          <w:b/>
        </w:rPr>
        <w:t>E. 1.2</w:t>
      </w:r>
    </w:p>
    <w:p>
      <w:r>
        <w:t>Interjeté en temps utile et selon la forme prescrite par la loi (art. 130, 131 et 311 al. 1 CPC), par des parties qui y ont intérêt (cf. art. 59 al. 2 let. a CPC), l'appel est recevable. Par souci de simplification, A______ LTD sera désignée ci-après comme l'appelante n°1 et B______ comme l'appelant n° 2.</w:t>
      </w:r>
    </w:p>
    <w:p>
      <w:r>
        <w:rPr>
          <w:b/>
        </w:rPr>
        <w:t>E. 1.3</w:t>
      </w:r>
    </w:p>
    <w:p>
      <w:r>
        <w:t>La compétence ratione materiae des juridictions civiles ordinaires - dont celle de la Cour de céans - pour statuer sur la présente action n'est à juste titre pas remise en cause par les parties, dès lors que celle-ci est fondée principalement sur les art. 28 ss CC, ainsi que sur les dispositions particulières de la LPD (cf. art. 86 al. 1 et al. 3 let. b, art. 120 al. 1 LOJ). Par ailleurs, l'action tend également à la validation de mesures provisionnelles prononcées par les juridictions ordinaires sur la base des mêmes dispositions (cf. art. 263 CPC). Par ailleurs, les juridictions genevoises sont compétentes ratione loci pour connaître de l'action fondée sur une atteinte illicite à la personnalité, formée par les appelants, vu le siège genevois de l'intimée (art. 129 al. 1 LDIP).</w:t>
      </w:r>
    </w:p>
    <w:p>
      <w:r>
        <w:t>- 9/21 -</w:t>
      </w:r>
    </w:p>
    <w:p>
      <w:r>
        <w:t>C/11113/2018</w:t>
      </w:r>
    </w:p>
    <w:p>
      <w:r>
        <w:rPr>
          <w:b/>
        </w:rPr>
        <w:t>E. 1.4</w:t>
      </w:r>
    </w:p>
    <w:p>
      <w:r>
        <w:t>S'agissant d'un appel, la Cour revoit la cause avec un plein pouvoir d'examen (art. 310 CPC).</w:t>
      </w:r>
    </w:p>
    <w:p>
      <w:r>
        <w:rPr>
          <w:b/>
        </w:rPr>
        <w:t>E. 2</w:t>
      </w:r>
    </w:p>
    <w:p>
      <w:r>
        <w:t>Les appelants reprochent tout d'abord au premier juge d'avoir commis un déni de justice en refusant d'examiner et de qualifier la relation liant l'appelante n° 1 et l'intimée après le 30 juin 2014, date à laquelle l'intimée aurait mis fin à la relation d'affaires, et d'examiner l'application, respectivement la non-application de la LEAR au cas d'espèce.</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142 II 154 consid. 4.2; 138 I 232 consid. 5.1). Ainsi, les parties doivent pouvoir connaître les éléments de fait et de droit retenus par le juge pour arriver au dispositif (TAPPY, Commentaire romand, Code de procédure civile, 2ème éd. 2019, n. 7 ad art. 238 CPC).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du 8 juin 2011 consid. 4.1).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2.2</w:t>
      </w:r>
    </w:p>
    <w:p>
      <w:r>
        <w:t>En l'occurrence, même à admettre une violation par le premier juge du droit d'être entendus des appelants, celle-ci peut être réparée devant la Cour, qui dispose d'un plein pouvoir d'examen en fait et en droit et devant laquelle les appelants ont pu s'exprimer librement, de sorte qu'elle demeure sans conséquence.</w:t>
      </w:r>
    </w:p>
    <w:p>
      <w:r>
        <w:t>Le grief des appelants sera, dès lors, écarté.</w:t>
      </w:r>
    </w:p>
    <w:p>
      <w:r>
        <w:t>- 10/21 -</w:t>
      </w:r>
    </w:p>
    <w:p>
      <w:r>
        <w:t>C/11113/2018</w:t>
      </w:r>
    </w:p>
    <w:p>
      <w:r>
        <w:rPr>
          <w:b/>
        </w:rPr>
        <w:t>E. 3</w:t>
      </w:r>
    </w:p>
    <w:p>
      <w:r>
        <w:t>Les appelants font valoir que la LEAR ne saurait constituer la base juridique justifiant la transmission des données litigieuses au sens de la LPD, dans la mesure où les rapports contractuels liant l'appelante n°1 et l'intimée auraient été résiliés avant l'entrée en vigueur de ladite loi.</w:t>
      </w:r>
    </w:p>
    <w:p>
      <w:r>
        <w:t>3.1.1 A teneur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appartient au demandeur de prouver l'atteinte à la personnalité et au défendeur l'existence des faits justificatifs (MEILI, Basler Kommentar, 2018, n. 56 ad art. 28 CC). Selon l'art. 28a al. 1 CC, le demandeur peut notamment requérir du juge d'interdire l'atteinte, si elle est imminente (ch. 1), de la faire cesser, si elle dure encore (ch. 2), ou d'en constater le caractère illicite, si le trouble qu'elle a créé subsiste (ch. 3). 3.1.2 En matière de traitement de données, la LPD concrétise et complète l'art. 28 CC (arrêt du Tribunal fédéral 5A_22/2013 du 30 juin 2014 consid. 2.4.2 et les références doctrinales citées). L'art. 15 al. 1 LPD prévoit que les actions concernant la protection de la personnalité sont régies par les art. 28, 28a et 28l CC. La LPD régit le traitement de données concernant des personnes physiques et morales effectué par des personnes privées et des organes fédéraux (art. 2 al. 1 LPD) à l'exception, notamment, des procédures d'entraide judiciaire internationale (art. 2 al. 2 let. c LPD). Par "organe fédéral", on entend l'autorité ou le service fédéral ainsi que la personne en tant qu'elle est chargée d'une tâche de la Confédération (art. 3 lit. h LPD). L'art. 4 al. 1 LPD prévoit que tout traitement de données doit être licite. Leur traitement doit être effectué conformément aux principes de la bonne foi et de la proportionnalité (al. 2). Les données personnelles ne doivent être traitées que dans le but qui est indiqué lors de leur collecte, qui est prévu par une loi, ou qui ressort des circonstances (al. 3). Le principe de proportionnalité implique notamment que le traitement de données doit être apte à atteindre le but visé, doit être nécessaire, en ce sens que, parmi plusieurs moyens adaptés, il est celui qui porte l'atteinte la moins grave aux intérêts en cause et doit être proportionnel, au sens strict, c'est-à-dire se justifier au vu d'une comparaison entre les intérêts de l'auteur du traitement et de ceux de la personne concernée (Message du Conseil fédéral concernant la LPD, FF 1988 II 421 p. 458; STEINAUER/FOUNTOULAKIS, Droit des personnes physiques et de la protection de l'adulte, 2014, n. 702). Dans ce cadre, il faut toujours procéder à une</w:t>
      </w:r>
    </w:p>
    <w:p>
      <w:r>
        <w:t>- 11/21 -</w:t>
      </w:r>
    </w:p>
    <w:p>
      <w:r>
        <w:t>C/11113/2018 pondération des intérêts entre le but du traitement et l'atteinte nécessaire à la personnalité (Message précité, FF 1988 II 421, p. 458). Le traitement de données ne doit violer aucune norme légale, en particulier de droit pénal ou de droit de protection des données (MAURER-LAMBROU/STEINER, in MAURER-LAMBROU/BLECHTA [éd.], Datenschutzgesetz Öffentlichkeitsgesetz, 3ème éd. 2014, n. 6 ad art. 4 LPD). Les données visées par la LPD sont les données personnelles, soit toutes les informations qui se rapportent à une personne identifiée ou identifiable (art. 3 let. a LPD; ATF 136 II 508 consid. 3.2). Le traitement consiste en toute opération relative à de telles données, dont notamment leur communication à des tiers (art. 3 let. e LPD). 3.1.3 Selon l'art. 12 LPD, quiconque traite des données personnelles ne doit pas porter une atteinte illicite à la personnalité des personnes concernées (al. 1). Personne n'est en droit notamment de traiter des données personnelles en violation des principes définis aux art. 4, 5 al. 1, et 7 al. 1 LPD (al. 2 let. a), de traiter des données contre la volonté expresse de la personne concernée sans motifs justificatifs (al. 2 let. b) ou de communiquer à des tiers des données sensibles ou des profils de la personnalité sans motifs justificatifs (al. 2 let. c). Les motifs justificatifs permettant d'outrepasser l'opposition expresse de la personne concernée sont énumérés à l'art. 13 al. 1 LPD; en l'absence d'une norme légale permettant de faire abstraction de la volonté de la personne concernée, seuls un intérêt prépondérant privé et/ou un intérêt prépondérant public entrent en considération.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2011, n. 1368). L'existence de l'intérêt public prépondérant doit être évaluée dans chaque cas concret, en fonction de l'ensemble des circonstances en présence, notamment les garanties offertes par l'Etat de destination (WALTER, Communication de données personnelles à l'étranger, in La révision de la loi sur la protection des données, EPINEY/HOBI [éd.], Zürich 2009, p. 132). La dérogation fondée sur l'intérêt public doit être interprétée restrictivement, de sorte à ne pas encourager des communications transfrontières dans des conditions qui ne répondent pas à celles prévues par les traités d'entraide (MEIER, op. cit., n. 1374). 3.1.4 Pour ce qui concerne le traitement de données personnelles par des organes fédéraux (Section 4 de la LPD), l'art. 16 al. 1 LPD prévoit qu'il incombe à l'organe</w:t>
      </w:r>
    </w:p>
    <w:p>
      <w:r>
        <w:t>- 12/21 -</w:t>
      </w:r>
    </w:p>
    <w:p>
      <w:r>
        <w:t>C/11113/2018 fédéral responsable de pourvoir à la protection des données personnelles qu'il traite ou fait traiter dans l'accomplissement de ses tâches. Conformément à l'art. 20 al. 1 LPD, la personne concernée qui rend vraisemblable un intérêt légitime peut s'opposer à ce que l'organe fédéral responsable communique des données personnelles déterminées. Selon l'alinéa 2 de cette disposition, l'organe fédéral rejette ou lève l'opposition s'il est juridiquement tenu de communiquer les données (let. a) ou si le défaut de communication risque de compromettre l'accomplissement de ses tâches (let. b).</w:t>
      </w:r>
    </w:p>
    <w:p>
      <w:r>
        <w:t>3.2.1 Le 1er janvier 2017 est entré en force l'accord entre la Confédération suisse et l'Union européenne sur l'échange automatique d'informations relatives aux comptes financiers en vue d'améliorer le respect des obligations fiscales au niveau international (RS 0.641.926.81; ci-après : l'Accord EAR) qui prévoit l'échange automatique d'informations sur les comptes financiers entre la Suisse et les Etats membres de l'Union européenne dès le 1er janvier 2017. La France et la Grande-Bretagne sont parties à l'Accord EAR.</w:t>
      </w:r>
    </w:p>
    <w:p>
      <w:r>
        <w:t>3.2.2 En Suisse, conformément à son art. 1 al. 1, c'est la LEAR qui règle la mise en œuvre de l'échange automatique de renseignements en matière fiscale entre la Suisse et un Etat partenaire, fondée sur l'Accord EAR (let. a) ou sur d'autres conventions internationales prévoyant un échange automatique de renseignements relatifs aux comptes financiers (let. b). L'art. 15 al. 1 LEAR prévoit que les institutions financières suisses transmettent tous les ans à l'AFC les renseignements désignés dans la convention applicable et les renseignements sur leurs comptes non documentés, soit notamment les informations d'identification (permettant d'identifier le titulaire du compte, ainsi que les personnes qui détiennent le contrôle de l'entité titulaire du compte s'il s'agit d'une entité non financière passive [à savoir, selon le Message du Conseil fédéral du 5 juin 2015, une entité qui n’est pas une institution financière et qui n’exerce pas d’activité de négoce, de fabrication ou une autre activité commerciale]), les informations sur le compte et les informations financières. Il incombe ensuite à l'AFC de transmettre aux autorités compétentes des Etats partenaires les renseignements désignés dans la convention applicable qu'elle a reçus des institutions financières déclarantes, tout en leur rappelant les restrictions à l'utilisation des renseignements transmis et l'obligation de maintenir le secret prévues par les dispositions régissant l'assistance administrative de la convention applicable (art. 15 al. 2 et 3 LEAR).</w:t>
      </w:r>
    </w:p>
    <w:p>
      <w:r>
        <w:t>Sont visés par cette loi les "comptes préexistants" au sens de l'art. 2 al. 1 let. i LEAR, soit tout compte financier géré par une institution financière suisse déclarante le jour précédant l'applicabilité de l'échange automatique de renseignements avec un Etat partenaire. Toutefois, conformément à l'art. 9 al. 1 let. d LEAR, les institutions financières suisses déclarantes peuvent renoncer,</w:t>
      </w:r>
    </w:p>
    <w:p>
      <w:r>
        <w:t>- 13/21 -</w:t>
      </w:r>
    </w:p>
    <w:p>
      <w:r>
        <w:t>C/11113/2018 pour les comptes d'entités préexistants dont le solde total ou la valeur totale n'excède pas 250'000 fr. au 31 décembre précédant l'applicabilité de l'échange automatique d'informations avec un Etat partenaire [soit au 31 décembre 2016 pour l'Accord EAR], à examiner, identifier et déclarer tous ces comptes. Cette option a été introduite dans la "Norme d'échange automatique de renseignements relatifs aux comptes financiers - Norme commune de déclaration" [cf. infra] dans le but de réduire les frais de mise en œuvre des institutions financières, car les procédures de diligence raisonnable relatives aux entités sont plus complexes que celles relatives aux personnes physiques (Message du Conseil fédéral du 5 juin 2015 relatif à l'approbation de l'accord multilatéral entre autorités compétentes concernant l'échange automatique de renseignements relatifs aux comptes financiers et à sa mise en œuvre, FF 2015 4975 ss, p. 5029).</w:t>
      </w:r>
    </w:p>
    <w:p>
      <w:r>
        <w:t>Selon l'art. 22 al. 4 LEAR (cum art. 2 al. 1 let. d LEAR), l'AFC peut en effet édicter des directives, en se basant sur les commentaires de l'Organisation de coopération et de développement économiques (OCDE) sur le modèle d'accord entre autorités compétentes et sur la norme commune de déclaration de l'OCDE en matière de déclaration et de diligence raisonnable concernant les renseignements relatifs aux comptes financiers. L'AFC a fait usage de cette possibilité en édictant la Directive "Norme d'échange automatique de renseignements relatifs aux comptes financiers - Norme commune de déclaration" (ci-après : la Directive), dont la nouvelle édition du 23 janvier 2019 a remplacé la précédente du 17 janvier 2017.</w:t>
      </w:r>
    </w:p>
    <w:p>
      <w:r>
        <w:t>Selon la Directive, on est en présence d'un compte financier lorsqu'une institution financière suisse déclarante gère, au moment déterminant, une relation client/de compte active au nom d'un titulaire de compte. Une relation client/de compte est dite "active" même si le solde de toutes les transactions exécutées dans le cadre de cette relation est nul ou négatif. En revanche, une relation client/de compte n'est plus active lorsque toutes les transactions exécutées dans le cadre de cette relation et la relation elle-même sont dissoutes. Si la relation client/de compte dissoute est maintenue dans les systèmes de l'institution financière suisse déclarante comme une relation dissoute ou comme une relation passive sans transaction, il n'y a plus de compte financier pertinent au sens de la norme commune de déclaration (paragraphe 3, p. 55). Doit être considéré comme titulaire d'un compte le partenaire contractuel d'une relation de compte ou de dépôt enregistré dans les systèmes d'une institution financière suisse déclarante (paragraphe 5.4.1, p. 117).</w:t>
      </w:r>
    </w:p>
    <w:p>
      <w:r>
        <w:t>3.2.3 Pour ce qui est des renseignements collectés par l'institution financière suisse déclarante et de leur transmission aux autorités compétentes de l'Etat partenaire, les personnes devant faire l'objet d'une déclaration disposent des droits définis dans la LPD (art. 19 al. 1 LEAR).</w:t>
      </w:r>
    </w:p>
    <w:p>
      <w:r>
        <w:t>- 14/21 -</w:t>
      </w:r>
    </w:p>
    <w:p>
      <w:r>
        <w:t>C/11113/2018 A l'égard de l'AFC, la personne devant faire l'objet d'une déclaration peut uniquement faire valoir son droit d'accès et demander que les données inexactes en raison d'une erreur de transmission soient rectifiées (art. 19 al. 2 LEAR).</w:t>
      </w:r>
    </w:p>
    <w:p>
      <w:r>
        <w:t>La transmission des données à l'étranger s'effectue dans le cadre d'un processus automatisé. L'AFC ne procède à aucune vérification matérielle des données. Elle ne serait de toute façon pas en mesure de le faire, car ce sont les institutions financières déclarantes qui sont en contact avec les titulaires des comptes et appliquent les obligations de diligence raisonnable. Par conséquent, il faut faire valoir le droit de requérir la rectification des données inexactes auprès de l'institution financière. A l'égard de l'AFC, ce droit est limité au cas d'erreur de transmission (par ex. une erreur s'est produite lors de la transmission de données de l'institution financière à l'AFC, et le solde du compte s'élève à 10'000 fr. au lieu de 1'000 fr.). Le droit d'opposition à la communication de données personnelles, que la personne concernée peut faire valoir auprès de l'organe fédéral responsable en vertu de l'art. 20 LPD, est en revanche exclu (cf. supra consid. 3.1.4). Dans le cadre de l'échange automatique de renseignements (EAR), la transmission des renseignements se fonde sur des traités internationaux qui règlent très exactement quels renseignements doivent être transmis, sur qui et quand. Les institutions financières suisses déclarantes et l'AFC ne disposent d'aucune marge de manœuvre pour décider si elles souhaitent ou non procéder à une transmission. Au vu de ce qui précède, l'application de l'art. 20 LPD aurait pour conséquence que l'AFC rejetterait chaque opposition sur la base de son obligation juridique de communiquer (Message du Conseil fédéral du 5 juin 2015 relatif à l'approbation de l'accord multilatéral entre autorités compétentes concernant l'échange automatique de renseignements relatifs aux comptes financiers et à sa mise en œuvre, FF 2015 4975 ss, p. 5041).</w:t>
      </w:r>
    </w:p>
    <w:p>
      <w:r>
        <w:t>3.3.1 Chaque client est lié avec la banque par une relation juridique complexe comportant notamment des éléments caractéristiques d'un compte courant (pour le décompte des opérations), d'un dépôt irrégulier (pour les fonds remis à la banque) et plus généralement d'un mandat (ATF 131 III 377 consid. 4; arrêt du Tribunal fédéral 4C_387/2000 du 15 mars 2001 consid. 2a in SJ 2001 I 525; ATF 101 II 117 consid. 5 in JdT 1976 I 329; GUGGENHEIM, Les contrats de la pratique bancaire suisse, 2014, p. 201).</w:t>
      </w:r>
    </w:p>
    <w:p>
      <w:r>
        <w:t>En tant que mandataire, la banque doit se conformer aux instructions de son client (art. 397 CO) et répond de leur bonne et fidèle exécution (art. 398 CO). En tant que dépositaire, elle est tenue de rendre à son client la même somme que celle reçue (art. 481 al. 1 CO).</w:t>
      </w:r>
    </w:p>
    <w:p>
      <w:r>
        <w:t>3.3.2 Selon l'art. 475 al. 1 CO, le déposant peut réclamer en tout temps la somme déposée, même si un terme a été fixé pour la durée du dépôt. Cette disposition est</w:t>
      </w:r>
    </w:p>
    <w:p>
      <w:r>
        <w:t>- 15/21 -</w:t>
      </w:r>
    </w:p>
    <w:p>
      <w:r>
        <w:t>C/11113/2018 de droit impératif (BARBEY, Commentaire romand, Code des obligations I, 2012, n. 5 ad art. 475 CO).</w:t>
      </w:r>
    </w:p>
    <w:p>
      <w:r>
        <w:t>A la suite des changements intervenus en matière de coopération internationale contre la fraude fiscale, les tribunaux suisses ont déjà eu à plusieurs reprises à connaître de litiges relatifs au blocage d'avoirs ou au refus d'exécuter des opérations par des établissements bancaires se prévalant de l'absence de conformité fiscale des clients (ainsi dans le canton de Genève : ACJC/1508/2016 du 17 novembre 2016; ACJC/1579/2016 du 2 décembre 2016; ACJC/1585/2016 du 2 décembre 2016; ACJC/1690/2016 du 12 décembre 2016; ACJC/1691/2016 du 12 décembre 2016; et sur le plan fédéral : arrêt du Tribunal fédéral 4A_168/2015 du 28 octobre 2015 consid. 3; 4A_170/2015 du 28 octobre 2015 consid. 4). Dans le cadre de tous ces arrêts, les banques ont été condamnées à libérer les avoirs et à exécuter les ordres des clients.</w:t>
      </w:r>
    </w:p>
    <w:p>
      <w:r>
        <w:t>La doctrine la plus récente ayant examiné ces décisions relève ainsi que "(l)a jurisprudence semble désormais établie quant au droit des clients de retirer leurs avoirs sans devoir démontrer que ces avoirs ont été déclarés aux autorités fiscales" (THEVENOZ/PLATINO/EMMENEGGER/DÖBELI, Le droit bancaire privé suisse 2017 = Das schweizerische Bankprivatrecht 2017, in Revue suisse de droit des affaires et du marché financier 2018, p. 184 ss, p. 189).</w:t>
      </w:r>
    </w:p>
    <w:p>
      <w:r>
        <w:rPr>
          <w:b/>
        </w:rPr>
        <w:t>E. 3.4</w:t>
      </w:r>
    </w:p>
    <w:p>
      <w:r>
        <w:t>L'abus manifeste d'un droit n'est pas protégé par la loi (art. 2 al. 2 CC).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w:t>
      </w:r>
    </w:p>
    <w:p>
      <w:r>
        <w:rPr>
          <w:b/>
        </w:rPr>
        <w:t>E. 3.5</w:t>
      </w:r>
    </w:p>
    <w:p>
      <w:r>
        <w:t>Comme relevé ci-avant, la transmission de renseignements à des fins fiscales par des institutions financières suisses est spécifiquement prévue par la LEAR. Celle-ci fournit ainsi le cadre légal de droit fédéral expressément requis pour</w:t>
      </w:r>
    </w:p>
    <w:p>
      <w:r>
        <w:t>- 16/21 -</w:t>
      </w:r>
    </w:p>
    <w:p>
      <w:r>
        <w:t>C/11113/2018 justifier une atteinte à la personnalité provoquée par le traitement de données personnelles. Reste encore à déterminer si cette loi s'applique au cas d'espèce.</w:t>
      </w:r>
    </w:p>
    <w:p>
      <w:r>
        <w:t>Contrairement à ce qu'a retenu le Tribunal, il n'appartenait pas aux appelants de "faire valoir les moyens de droit de l'art. 19 LEAR devant les autorités compétentes [soit, en l'occurrence, l'AFC]". En effet, seule une rectification de données inexactes peut être requise de l'AFC (art. 19 al. 2 LEAR), celle-ci n'ayant d'autre choix que de transmettre les données à l'Etat partenaire concerné (cf. supra consid. 3.2.3).</w:t>
      </w:r>
    </w:p>
    <w:p>
      <w:r>
        <w:rPr>
          <w:b/>
        </w:rPr>
        <w:t>E. 3.5.1</w:t>
      </w:r>
    </w:p>
    <w:p>
      <w:r>
        <w:t>Il n'est pas contesté que le compte a été ouvert par l'appelante n°1 auprès de l'intimée le 12 avril 2010 et que l'appelant n°2 disposait de la signature individuelle sur ce compte.</w:t>
      </w:r>
    </w:p>
    <w:p>
      <w:r>
        <w:t>L'intimée ayant classifié l'appelante n°1 en qualité d'entité non financière passive, l'appelant n°2 est également concerné par la transmission des données litigieuses en tant que personne détenant le contrôle de l'entité titulaire du compte. En 2014, l'intimée a sollicité des appelants une preuve de leur conformité fiscale et a, par courrier du 14 février 2014, indiqué qu'elle entendait procéder à la fermeture du compte. Les appelants ont alors émis des instructions visant à récupérer les avoirs déposés sur le compte par courriers des 14 janvier, 24 mars et 2 avril 2014, instructions que l'intimée a refusé d'exécuter. Dans son dernier courrier du 2 avril 2014, l'appelant n° 2 a instruit la Banque de transférer les avoirs sur un compte liechtensteinois et de clôturer le compte. Par courrier du 25 avril 2014, l'intimée a annoncé mettre un terme à la relation d'affaires au terme d'un préavis de deux mois, soit au 30 juin 2014, et invité les appelants à lui communiquer les modalités de transfert des avoirs. A cet égard, il sied de relever que le courrier du 25 avril 2014, par lequel l'intimée indiquait résilier le contrat, faisait suite à la demande de clôture du compte de l'appelant n° 2 du 2 avril 2014. Aucune raison ne justifie, en l'espèce, de s'écarter des principes établis par la jurisprudence (cf. supra consid. 3.3.2). En effet, le fait d'exiger, comme l'a fait l'intimée, que le transfert des avoirs en compte soit opéré uniquement auprès d'un établissement bancaire situé dans un Etat déterminé (soit en particulier l'Etat de résidence fiscale de l'ayant droit économique du compte) représente une restriction importante au droit du déposant de récupérer en tout temps la somme déposée, alors que ce droit est garanti de manière impérative par l'art. 475 CO – cela indépendamment de la situation fiscale du client. C'est donc à tort que l'intimée a refusé d'exécuter les instructions des appelants. Dans ces conditions, il ne saurait être reproché aux appelants de ne pas s'être manifestés suite au courrier de l'intimée du 25 avril 2014, ce d'autant que leur droit à la restitution de la somme déposée a, une nouvelle fois, été limité de façon contraire au droit, dans la mesure où, sauf à recevoir une preuve de conformité fiscale, seul un transfert en</w:t>
      </w:r>
    </w:p>
    <w:p>
      <w:r>
        <w:t>- 17/21 -</w:t>
      </w:r>
    </w:p>
    <w:p>
      <w:r>
        <w:t>C/11113/2018 faveur de l'ayant droit économique sur un compte nominatif ouvert en France était accepté.</w:t>
      </w:r>
    </w:p>
    <w:p>
      <w:r>
        <w:t>L'intimée soutient qu'il existait de facto un compte financier déclarable au-delà de la date de résiliation prévue par la Banque, dans la mesure où l'appelante n° 1 disposait d'une créance envers elle, du moins jusqu'à sa saisie par l'Office des poursuites le 1er mars 2017. Ce raisonnement ne saurait être suivi, sauf à consacrer un abus de droit. En effet, c'est uniquement en raison du refus – injustifié – de l'intimée de restituer les avoirs en compte que ceux-ci n'ont pas pu être récupérés en 2014, conformément aux instructions émises par les appelants. Il convient dès lors de retenir que le compte litigieux n'était plus "actif" (cf. supra consid. 3.2.2 in fine) – et n'avait donc pas à être déclaré – lorsque la LEAR est entrée en vigueur le 1er janvier 2017. Par conséquent, quand bien même les avoirs sont demeurés en mains de la Banque, la relation contractuelle liant l'appelante n° 1 et l'intimée a effectivement pris fin le 30 juin 2014. Dans la mesure où la définition du titulaire de compte au sens de l'Accord EAR présuppose une relation contractuelle (laquelle a pris fin, in casu, le 30 juin 2014) et où la LEAR ne vise que les comptes financiers ouverts au 31 décembre 2016, l'application de la LEAR est exclue, de sorte que celle-ci ne peut constituer la base juridique justifiant la transmission des données litigieuses.</w:t>
      </w:r>
    </w:p>
    <w:p>
      <w:r>
        <w:rPr>
          <w:b/>
        </w:rPr>
        <w:t>E. 3.5.2</w:t>
      </w:r>
    </w:p>
    <w:p>
      <w:r>
        <w:t>Reste à déterminer si un autre motif au sens de l'art. 13 LPD serait susceptible de justifier l'atteinte à la personnalité des appelants.</w:t>
      </w:r>
    </w:p>
    <w:p>
      <w:r>
        <w:t>L'intimée n'a pas allégué que les appelants avaient accepté la transmission de leurs données et, compte tenu de la présente procédure, et des nombreux courriers transmis à l'intimée, leur consentement fait à l'évidence défaut.</w:t>
      </w:r>
    </w:p>
    <w:p>
      <w:r>
        <w:t>Quant à l'existence d'un intérêt prépondérant, l'intimée fait valoir un intérêt à communiquer les données litigieuses dès lors qu'elle est soumise à la LEAR, ce d'autant qu'il existe, selon elle, des doutes sérieux quant à la conformité fiscale des appelants.</w:t>
      </w:r>
    </w:p>
    <w:p>
      <w:r>
        <w:t>En l'occurrence, il existe certes un intérêt à ce que la Banque transmette toute donnée couverte par la LEAR afin de permettre la mise en œuvre de l'accord conclu avec l'Union européenne. Toutefois, il ressort de ce qui précède que les avoirs litigieux ne peuvent être considérés comme un compte déclarable au sens de cette loi, puisque la relation de compte a été résiliée en 2014, soit bien avant son entrée en vigueur. L'application de la LEAR ne peut donc constituer un intérêt prépondérant de l'intimée pour des raisons de prévisibilité et de sécurité du droit. D'autre part, la jurisprudence est établie quant au droit des clients de retirer leurs avoirs sans devoir démontrer que ceux-ci ont été déclarés aux autorités fiscales.</w:t>
      </w:r>
    </w:p>
    <w:p>
      <w:r>
        <w:t>- 18/21 -</w:t>
      </w:r>
    </w:p>
    <w:p>
      <w:r>
        <w:t>C/11113/2018 L'intimée ne saurait dès lors se prévaloir d'un intérêt prépondérant à celui des appelants, sur la base de simples doutes quant à la conformité fiscale de ces derniers. Enfin, l'intimée n'allègue pas, et a fortiori ne démontre pas, qu'elle s'exposerait à d'éventuelles répercussions négatives en s'abstenant de transmettre les données litigieuses dans le cas d'espèce, ce d'autant que l'art. 9 al. 1 let. d LEAR lui permet de renoncer à examiner, identifier et déclarer les avoirs litigieux, dans la mesure où leur solde n'excédait pas 250'000 fr. au 31 décembre 2016. Compte tenu des circonstances du cas d'espèce, il peut être attendu de l'intimée qu'elle fasse usage de son droit à renoncer à la communication litigieuse.</w:t>
      </w:r>
    </w:p>
    <w:p>
      <w:r>
        <w:t>Partant, ladite communication constitue une atteinte illicite à la personnalité des appelants au sens de l'art. 28 CC et de l'art. 12 LPD et n'est justifiée par aucun motif au sens des art. 12 al. 2 let. c et 13 LPD.</w:t>
      </w:r>
    </w:p>
    <w:p>
      <w:r>
        <w:t>Au vu de ce qui précède, la Cour peut se dispenser d'examiner les griefs des appelants relatifs au changement de domicile de l'ayant droit économique ainsi que de violation de l'art. 47 LB.</w:t>
      </w:r>
    </w:p>
    <w:p>
      <w:r>
        <w:t>Par conséquent, il sera fait interdiction à l'intimée, sous la menace de la peine de l'art. 292 CP, de transmettre, de communiquer ou de porter à la connaissance de tiers ou d'Etats tiers, de quelque manière que ce soit, à quelque titre que ce soit et sur quelque support que ce soit, des informations relatives aux appelants, qui seraient en sa possession ainsi que toutes données, informations ou documents comportant le nom des appelants et/ou des données ou informations relatives à leur personne et/ou permettant de les identifier.</w:t>
      </w:r>
    </w:p>
    <w:p>
      <w:r>
        <w:rPr>
          <w:b/>
        </w:rPr>
        <w:t>E. 3.5.3</w:t>
      </w:r>
    </w:p>
    <w:p>
      <w:r>
        <w:t>Le jugement entrepris sera annulé et il sera statué dans le sens qui précède.</w:t>
      </w:r>
    </w:p>
    <w:p>
      <w:r>
        <w:rPr>
          <w:b/>
        </w:rPr>
        <w:t>E. 4</w:t>
      </w:r>
    </w:p>
    <w:p>
      <w:r>
        <w:t>Lorsque l'instance d'appel statue à nouveau, elle se prononce sur les frais de la première instance (art. 318 al. 3 CPC).</w:t>
      </w:r>
    </w:p>
    <w:p>
      <w:r>
        <w:rPr>
          <w:b/>
        </w:rPr>
        <w:t>E. 4.1</w:t>
      </w:r>
    </w:p>
    <w:p>
      <w:r>
        <w:t>En l'occurrence, les parties ne remettent pas en cause les montants des frais fixés par le premier juge (2'400 fr. de frais judiciaires et 2'500 fr. de dépens), lesquels sont par ailleurs conformes aux règles applicables en la matière (art. 5, 18 et 86 RTFMC), de sorte que ceux-ci seront confirmés. Les frais judiciaires de première instance seront compensés avec l'avance de frais fournie par l'appelante n°1, laquelle reste acquise à l'Etat de Genève (art. 111 al. 1 CPC). Compte tenu de l'issue de la procédure, il se justifie de mettre l'intégralité des frais de première instance à la charge de l'intimée qui succombe (art. 106 al. 1 CPC).</w:t>
      </w:r>
    </w:p>
    <w:p>
      <w:r>
        <w:t>- 19/21 -</w:t>
      </w:r>
    </w:p>
    <w:p>
      <w:r>
        <w:t>C/11113/2018 Cette dernière sera dès lors condamnée à verser 2'400 fr. à l'appelante n°1 à titre de restitution de l'avance de frais fournie (art. 111 al. 2 CPC). Elle sera en outre condamnée à verser 2'500 fr. aux appelants, solidairement entre eux, à titre de dépens de première instance.</w:t>
      </w:r>
    </w:p>
    <w:p>
      <w:r>
        <w:rPr>
          <w:b/>
        </w:rPr>
        <w:t>E. 4.2</w:t>
      </w:r>
    </w:p>
    <w:p>
      <w:r>
        <w:t>Les frais judiciaires d'appel seront arrêtés à 2'400 fr. (art. 18 et 35 RTFMC), compensés avec l'avance de frais fournie par l'appelant n°2, qui reste acquise à l'Etat de Genève (art. 111 al. 1 CPC), et mis à la charge de l'intimée, qui succombe (art. 106 al. 1 CPC). Cette dernière sera en conséquence condamnée à rembourser ce montant de 2'400 fr. à l'appelant n°2 (art. 111 al. 2 CPC). L'intimée sera, en outre, condamnée à verser 2'000 fr., débours et TVA compris, aux appelants, solidairement entre eux, à titre de dépens d'appel (art. 85 et 90 RTFMC). * * * * *</w:t>
      </w:r>
    </w:p>
    <w:p>
      <w:r>
        <w:t>- 20/21 -</w:t>
      </w:r>
    </w:p>
    <w:p>
      <w:r>
        <w:t>C/11113/2018</w:t>
      </w:r>
    </w:p>
    <w:p>
      <w:r>
        <w:t>PAR CES MOTIFS, La Chambre civile : A la forme : Déclare recevable l'appel interjeté le 10 avril 2019 par A______ LTD et B______ contre le jugement JTPI/3387/2019 rendu le 7 mars 2019 par le Tribunal de première instance dans la cause C/11113/2018-12. Au fond : Annule le jugement entrepris et, statuant à nouveau : Fait interdiction à [la banque] C______ de transmettre, de communiquer ou de porter à la connaissance de tiers ou d'Etats tiers, de quelque manière que ce soit, à quelque titre que ce soit et sur quelque support que ce soit, des informations relatives à A______ LTD, respectivement à B______, qui seraient en sa possession. Fait interdiction à C______ de transmettre, de communiquer ou de porter à la connaissance de tiers ou d'Etats tiers, de quelque manière que ce soit et sur quelque support que ce soit, toutes données, informations ou documents comportant le nom de A______ LTD, respectivement de B______ et/ou des données ou informations relatives à leur personne et/ou permettant de les identifier. Prononce ces interdictions sous la menace de la peine de l'article 292 CP qui dispose que celui qui ne se sera pas conformé à une décision à lui signifiée, sous la menace de la peine prévue audit article, par une autorité ou un fonctionnaire compétents, sera puni de l'amende. Arrête les frais judiciaires de première instance à 2'400 fr., les met à la charge de C______ et les compense avec l'avance de frais fournie par A______ LTD, laquelle reste acquise à l'Etat de Genève. Condamne C______ à verser à A______ LTD la somme de 2'400 fr. au titre de remboursement de l'avance de frais de première instance. Condamne C______ à verser à A______ LTD et B______, solidairement entre eux, la somme de 2'500 fr. au titre de dépens de première instance. Déboute les parties de toutes autres conclusions. Sur les frais :</w:t>
      </w:r>
    </w:p>
    <w:p>
      <w:r>
        <w:t>- 21/21 -</w:t>
      </w:r>
    </w:p>
    <w:p>
      <w:r>
        <w:t>C/11113/2018 Arrête les frais judiciaires d'appel à 2'400 fr., les met à la charge de C______ et les compense par l'avance de frais fournie par B______, laquelle reste acquise à l'Etat de Genève. Condamne C______ à verser à B______ la somme de 2'400 fr. au titre de remboursement de l'avance de frais judiciaires d'appel. Condamne C______ à verser à A______ LTD et B______, solidairement entre eux, la somme de 2'000 fr. au titre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