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ACJC/949/2017 vom 6. Juli 2017</w:t>
      </w:r>
    </w:p>
    <w:p>
      <w:r>
        <w:t>GE Cour de justice, 2017-07-06, FR</w:t>
      </w:r>
    </w:p>
    <w:p>
      <w:r>
        <w:rPr>
          <w:b/>
        </w:rPr>
        <w:t xml:space="preserve">Quelle: </w:t>
      </w:r>
      <w:r>
        <w:t>https://mcp.opencaselaw.ch/entscheid/ge_gerichte_ACJC_949_2017</w:t>
      </w:r>
    </w:p>
    <w:p>
      <w:r>
        <w:t>FR: GE_GERICHTE ACJC/949/2017 du 6 juillet 2017</w:t>
      </w:r>
    </w:p>
    <w:p>
      <w:r>
        <w:t>IT: GE_GERICHTE ACJC/949/2017 del 6 luglio 2017</w:t>
      </w:r>
    </w:p>
    <w:p>
      <w:pPr>
        <w:pStyle w:val="Heading2"/>
      </w:pPr>
      <w:r>
        <w:t>Volltext</w:t>
      </w:r>
    </w:p>
    <w:p>
      <w:r>
        <w:t>Le présent arrêt est communiqué aux parties par plis recommandés du 8 août 2017.</w:t>
      </w:r>
    </w:p>
    <w:p>
      <w:r>
        <w:t>REPUBLIQUE ET</w:t>
      </w:r>
    </w:p>
    <w:p>
      <w:r>
        <w:t>CANTON DE GENEVE POUVOIR JUDICIAIRE C/26620/2013 ACJC/949/2017 ARRÊT DE LA COUR DE JUSTICE Chambre civile DU LUNDI 31 JUILLET 2017</w:t>
      </w:r>
    </w:p>
    <w:p>
      <w:r>
        <w:t>Entre A______, domicilié ______ (GE), appelant d'une ordonnance rendue par la 5ème Chambre du Tribunal de première instance de ce canton le 6 juillet 2017, comparant par Me Daniel Tunik et Me David Schwarz, avocats, 30, route de Chêne, case postale 615, 1211 Genève 6, en l'étude desquels il fait élection de domicile, et B______, domiciliée ______ (GE), intimée, comparant par Me Jaroslaw Grabowski, avocat, 8, rue Pierre-Fatio, case postale 3481, 1211 Genève 3, en l'étude duquel elle fait élection de domicile.</w:t>
      </w:r>
    </w:p>
    <w:p>
      <w:r>
        <w:t>- 2/4 -</w:t>
      </w:r>
    </w:p>
    <w:p>
      <w:r>
        <w:t>C/26620/2013 Vu l'ordonnance du 6 juillet 2017 par lequel le Tribunal de première instance, statuant sur mesures provisionnelles dans le cadre d'une procédure de divorce, a notamment condamné A______ à verser à B______ 12'217 fr., à titre de contribution supplémentaire à son entretien (ch. 1), ainsi que 45'000 fr. à titre de provisio ad litem (ch. 2), et dit que pour le surplus l'arrêt ACJC/1571/2015 prononcé par la Cour de justice le 18 décembre 2015 continuerait à déployer ses effets (ch. 3); Attendu que le Tribunal a retenu que le montant de la contribution d'entretien fixée, par arrêt de la Cour de justice du 18 décembre 2015, en faveur de l'épouse ne comprenait pas sa charge fiscale depuis 2014, qu'entretemps cette dernière avait reçu une taxation fiscale pour 2015 de plus de 22'000 fr., que cette circonstance justifiait l'octroi de mesures provisionnelles à concurrence du montant réclamé par le fisc sous déduction du montant remboursé par les impôts en 2015 soit 9'986 fr., que la contribution perçue par l'épouse était de l'ordre de 3'500 fr. depuis décembre 2015, et non plus de 7'000 fr. comme auparavant, de sorte qu'elle n'était plus en mesure de supporter ses frais d'avocat dans la longue procédure de divorce pendante; Que, dans son arrêt du 18 décembre 2015, la Cour a relevé que l'épouse avait élevé son niveau de vie en s'installant dans l'appartement copropriété des parties, de sorte qu'il convenait d'autoriser l'époux à déduire le montant de 3'344 fr. du montant de 7'000 fr. dû aussi longtemps qu'elle occuperait ledit appartement; Vu l'appel formé par A______ contre l'ordonnance précitée, dont il a requis l'annulation; Vu la conclusion préalable que comporte l'appel, tendant à ce que soit accordé à celui-ci l'effet suspensif; Attendu que l'appelant fait valoir que le versement des montants auxquels il a été condamné aurait des conséquences dommageables, vu son solde disponible allégué de 5'048 fr. (20'759 fr. de revenu, 11'974 fr. de charges, 3'556 fr. de contribution) par mois, et se prévaut des chances de succès de son appel; Que l'intimée conclut au rejet de la demande d'effet suspensif, soutenant n'avoir plus d'argent pour payer ses charges alors que l'appelant gagnerait près de 40'000 fr. par mois; Considérant, en droit,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w:t>
      </w:r>
    </w:p>
    <w:p>
      <w:r>
        <w:t>- 3/4 -</w:t>
      </w:r>
    </w:p>
    <w:p>
      <w:r>
        <w:t>C/26620/2013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l'exécution immédiate demeure la règle et la suspension du caractère exécutoire l'exception; Que selon les principes généraux en matière d'effet suspensif, le juge procède à une pesée des intérêts en présence; Qu'en l'espèce, l'appelant conteste le raisonnement du Tribunal selon lequel la prétention en versement d'une provisio ad litem pourrait reposer sur la circonstance de la diminution de contribution en espèces que la Cour a, dans sa décision du 18 décembre 2015, autorisé l'appelant à effectuer ainsi que celui qui a pour résultat une contribution unique et non périodique, contrairement à la jurisprudence (ATF 114 II 18 consid, 5b); Que les motifs d'un tel appel n'apparaissent pas, prima facie, comme dépourvus de chances de succès; Que, pour le surplus, l'intimée ne disconvient pas de son insolvabilité puisqu'elle déclare n'avoir plus d'argent; Que, dans ces circonstances, il se justifie d'admettre la requête de l'appelant tendant à la suspension du caractère exécutoire de l'ordonnance entreprise; Qu'il sera statué sur les frais et dépens de l'incident avec la décision au fond (art. 104 al. 3 CPC); * * * * * *</w:t>
      </w:r>
    </w:p>
    <w:p>
      <w:r>
        <w:t>- 4/4 -</w:t>
      </w:r>
    </w:p>
    <w:p>
      <w:r>
        <w:t>C/26620/2013</w:t>
      </w:r>
    </w:p>
    <w:p>
      <w:r>
        <w:t>PAR CES MOTIFS, La Chambre civile : Statuant sur requête de suspension de l'effet exécutoire du jugement entrepris : Admet la requête formée par A______ tendant à la suspension du caractère exécutoire de l'ordonnance OTPI/352/2017 rendue le 6 juillet 2017 par le Tribunal de première instance dans la cause C/26620/2013-5. Dit qu'il sera statué sur les frais liés à la présente décision dans l'arrêt rendu sur le fond. Siégeant : Madame Sylvie DROIN, présidente; Madame Camille LESTEVEN, greffière.</w:t>
      </w:r>
    </w:p>
    <w:p>
      <w:r>
        <w:t>La présidente : Sylvie DROIN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