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ACJC/948/2015 vom 28. August 2015</w:t>
      </w:r>
    </w:p>
    <w:p>
      <w:r>
        <w:t>GE Cour de justice, 2015-08-28, FR</w:t>
      </w:r>
    </w:p>
    <w:p>
      <w:r>
        <w:rPr>
          <w:b/>
        </w:rPr>
        <w:t xml:space="preserve">Quelle: </w:t>
      </w:r>
      <w:r>
        <w:t>https://mcp.opencaselaw.ch/entscheid/ge_gerichte_ACJC_948_2015</w:t>
      </w:r>
    </w:p>
    <w:p>
      <w:r>
        <w:t>FR: GE_GERICHTE ACJC/948/2015 du 28 août 2015</w:t>
      </w:r>
    </w:p>
    <w:p>
      <w:r>
        <w:t>IT: GE_GERICHTE ACJC/948/2015 del 28 agosto 2015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w:t>
      </w:r>
    </w:p>
    <w:p>
      <w:r>
        <w:t>Le Tribunal fédéral s'est expressément prononcé sur la recevabilité des vrais nova, se référant en particulier au Message, selon lequel il s'agit en tous les cas des faits</w:t>
      </w:r>
    </w:p>
    <w:p>
      <w:r>
        <w:t>- 9/14 -</w:t>
      </w:r>
    </w:p>
    <w:p>
      <w:r>
        <w:t>C/23158/2014 nouveaux « proprement dits »,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(arrêts du Tribunal fédéral 5A_980/2013 du 16 juillet 2014 consid. 4.2.3; 5A_328/2013 consid. 4.3.2; 5A_364/2008 du 12 août 2008 consid. 4.1.2).</w:t>
      </w:r>
    </w:p>
    <w:p>
      <w:r>
        <w:t>En l'espèce, les pièces produites par les parties antérieures au 2 mars 2015, date à laquelle le Tribunal a gardé la cause à juger, sont sans pertinence pour l'issue du litige de sorte qu'il n'y a pas lieu de se prononcer plus avant sur leur recevabilité. Celles postérieures à cette date, ainsi que les faits qu'elles contiennent, constituent de vrais nova dans la mesure où elles n'étaient pas connues du premier juge lorsque la cause a été gardée à juger. Elles sont donc recevables, étant cependant précisé qu'elles sont sans pertinence pour l'issue du litige.</w:t>
      </w:r>
    </w:p>
    <w:p>
      <w:r>
        <w:rPr>
          <w:b/>
        </w:rPr>
        <w:t>E. 1.3</w:t>
      </w:r>
    </w:p>
    <w:p>
      <w:r>
        <w:t>La cognition de la Cour est limitée à la violation du droit et à la constatation manifestement inexacte des faits (art. 320 CPC et 278 al. 3 LP).</w:t>
      </w:r>
    </w:p>
    <w:p>
      <w:r>
        <w:rPr>
          <w:b/>
        </w:rPr>
        <w:t>E. 2</w:t>
      </w:r>
    </w:p>
    <w:p>
      <w:r>
        <w:t>La recourante fait d'abord valoir une violation de son droit d'être entendue, au motif que des faits se sont produits entre le 2 mars 2015, date à laquelle la cause a été gardée à juger par le Tribunal de première instance, et le 15 mai 2015, date du jugement querellé, faits sur lesquels elle n'a pu s'exprimer, et ne peut le faire dans le cadre d'un recours, vu le pouvoir de cognition restreint de la Cour.</w:t>
      </w:r>
    </w:p>
    <w:p>
      <w:r>
        <w:rPr>
          <w:b/>
        </w:rPr>
        <w:t>E. 2.1</w:t>
      </w:r>
    </w:p>
    <w:p>
      <w:r>
        <w:t>Il résulte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w:t>
      </w:r>
    </w:p>
    <w:p>
      <w:r>
        <w:rPr>
          <w:b/>
        </w:rPr>
        <w:t>E. 2.2</w:t>
      </w:r>
    </w:p>
    <w:p>
      <w:r>
        <w:t>En l'espèce, le Tribunal a rendu sa décision sur la base des faits connus et allégués jusqu'à la date à laquelle la cause a été gardée à juger et sur lesquels les parties ont pu s'exprimer.</w:t>
      </w:r>
    </w:p>
    <w:p>
      <w:r>
        <w:t>Il a été retenu ci-dessus que les faits survenus après cette date, soit le 2 mars 2015, étaient sans pertinence pour la solution du litige (cf. consid. 1.2 ci-dessus).</w:t>
      </w:r>
    </w:p>
    <w:p>
      <w:r>
        <w:t>Le grief tiré de la violation du droit d'être entendu est en conséquence infondé et doit être rejeté.</w:t>
      </w:r>
    </w:p>
    <w:p>
      <w:r>
        <w:rPr>
          <w:b/>
        </w:rPr>
        <w:t>E. 3</w:t>
      </w:r>
    </w:p>
    <w:p>
      <w:r>
        <w:t>Dans un deuxième grief, la recourante reproche au premier juge d'avoir considéré que l'acte authentique produit valait titre de mainlevée définitive, alors qu'il</w:t>
      </w:r>
    </w:p>
    <w:p>
      <w:r>
        <w:t>- 10/14 -</w:t>
      </w:r>
    </w:p>
    <w:p>
      <w:r>
        <w:t>C/23158/2014 contenait des clauses complexes nécessitant des interprétations relevant de la compétence du juge du fond. Elle soutient pour le surplus que le juge aurait dû admettre la compensation avec sa créance en versement d'une indemnité de 30'000 fr. et en remboursement de la taxe d'écoulement de 8'162 fr. Enfin, elle reproche au premier juge de ne pas avoir ordonné la fourniture de sûretés.</w:t>
      </w:r>
    </w:p>
    <w:p>
      <w:r>
        <w:rPr>
          <w:b/>
        </w:rPr>
        <w:t>E. 3.1</w:t>
      </w:r>
    </w:p>
    <w:p>
      <w:r>
        <w:t>Le créancier d'une dette échue et non garantie par gage peut requérir le séquestre des biens du débiteur qui se trouvent en Suisse lorsque le créancier possède contre le débiteur un titre de mainlevée définitive (art. 271 al. 1 ch. 6 LP).</w:t>
      </w:r>
    </w:p>
    <w:p>
      <w:r>
        <w:t>Contrairement aux cas de séquestre prévus aux chiffres 1 à 5 de l'art. 271 al. 1er LP, point n'est besoin que le créancier rende vraisemblable l'existence de sa créance ou le fait qu'il est menacé dans ses droits pour obtenir un séquestre fondé sur le nouveau chiffre 6. De même, le prononcé du séquestre ne saurait être conditionné par l'urgence ou par le versement de sûretés. A cet égard, l'art. 273 al. 1er 2e phr. LP ne trouve pas application lorsque le séquestre est fondé sur une décision, étrangère ou suisse, exécutoire. La principale - voire seule - condition à l'octroi du séquestre est donc l'existence d'un titre de mainlevée définitive au sens de l'art. 80 al. 1 et 2 LP (BOVEY, La révision de la Convention de Lugano et le séquestre, in: JdT 2012 II, p. 80 ss, 85; arrêt du Tribunal fédéral 5A_806/2014 du 28 avril 2015 consid. 2.3.1.).</w:t>
      </w:r>
    </w:p>
    <w:p>
      <w:r>
        <w:t>Le titre de mainlevée définitive dont il s'agit est celui visé par l'art. 80 LP, soit un jugement exécutoire (al. 1). Selon l'al. 2 ch. 1bis de cette disposition, sont assimilés à des jugements les titres authentiques exécutoires au sens des art. 347 à 352 CPC.</w:t>
      </w:r>
    </w:p>
    <w:p>
      <w:r>
        <w:t>Selon l'art. 347 CPC, les titres authentiques relatifs à des prestations de toute nature peuvent être exécutés comme des décisions aux conditions suivantes: a) la partie qui s'oblige a expressément déclaré dans le titre qu'elle reconnaissait l'exécution directe de la prestation; b) la cause juridique de la prestation est mentionnée dans le titre; c) la prestation due est: 1) suffisamment déterminée dans le titre, 2) reconnue dans le titre par la partie qui s'oblige, 3) exigible.</w:t>
      </w:r>
    </w:p>
    <w:p>
      <w:r>
        <w:t>L'obligation doit être décrite dans l'acte authentique lui-même ou alors résulter d'un document y annexé. L'idée de base consiste à ce que l'autorité d'exécution puisse établir par elle-même et de façon certaine l'obligation à exécuter, sur la seule base de l'acte authentique et - le cas échéant - de documents complémentaires relatifs au contenu et à l'existence de la prestation due en vertu de la cause juridique mentionnée dans l'acte, sans qu'il ne soit question de procéder à de quelconques actes d'instruction. En application de ces critères, une prestation en argent doit être exprimée en chiffres, ou déterminable de façon certaine en fonction de données complémentaires. Si la prestation est soumise à conditions, la (non-)réalisation de celle-ci doit être documentée de façon irréfutable. Si les moyens de preuve en procédure sommaire ne sont pas</w:t>
      </w:r>
    </w:p>
    <w:p>
      <w:r>
        <w:t>- 11/14 -</w:t>
      </w:r>
    </w:p>
    <w:p>
      <w:r>
        <w:t>C/23158/2014 suffisamment liquides, la demande d'exécution doit être rejetée (JEANDIN, in CPC, Code de procédure civile commenté, 2011, n. 19 ad art. 348 CPC; WALPEN, in Berner Kommentar, Schweizerische Zivilprozessordnung, 2012, n. 52 ad art. 3487 CPC).</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Lorsque la poursuite est fondée sur un titre authentique exécutoire, le débiteur poursuivi ne peut opposer à son obligation que des objections qu'il peut prouver immédiatement (art. 81 al. 1 et 2 LP).</w:t>
      </w:r>
    </w:p>
    <w:p>
      <w:r>
        <w:t>Le titre authentique exécutoire n'étant pas un jugement, il ne déploie pas autorité de chose jugée (art. 59 al. 2 let. c CPC), si bien que le débiteur poursuivi n'est pas limité par le champ de l'art. 81 al. 1 LP: il pourra au contraire opposer à son obligation de toutes sortes d'objection, pour autant qu'il soit en mesure de les «prouver immédiatement» (art. 81 al. 2 LP), par tous les moyens admissibles en procédure sommaire (art. 254 CPC). Le débiteur pourra en outre contester la nature de titre authentique exécutoire (art. 347 et 348 CPC) du document dont se prévaut le créancier (JEANDIN, op. cit., n. 5 ad art. 349 CPC; WALPEN, op. cit., n. 5 ad art. 349 CPC).</w:t>
      </w:r>
    </w:p>
    <w:p>
      <w:r>
        <w:t>Le débiteur peut agir en tout temps au for de la poursuite pour faire constater que la dette n'existe pas ou plus, ou qu'un sursis a été accordé (art. 352 CPC, art. 85a et 86 LP) (WALPEN, op. cit., n. 10 ad art. 349 CPC).</w:t>
      </w:r>
    </w:p>
    <w:p>
      <w:r>
        <w:rPr>
          <w:b/>
        </w:rPr>
        <w:t>E. 3.2</w:t>
      </w:r>
    </w:p>
    <w:p>
      <w:r>
        <w:t>Celui qui donne des arrhes est réputé les donner en signe de la conclusion du contrat, et non à titre de dédit. Sauf usage local ou convention contraire, celui qui a reçu des arrhes les garde sans avoir à les imputer sur sa créance (art. 158 CO).</w:t>
      </w:r>
    </w:p>
    <w:p>
      <w:r>
        <w:t>Si le contrat envisagé ne vient pas à chef, le créancier doit, si aucune peine conventionnelle et aucun dédit n'ont été convenus, rembourser les arrhes versées (MOOSER, in Commentaire romand du Code des obligations I, 2ème éd., 2012, n. 5 ad art. 158 CO).</w:t>
      </w:r>
    </w:p>
    <w:p>
      <w:r>
        <w:t>Lorsqu'une peine a été stipulée en vue de l'inexécution ou de l'exécution imparfaite du contrat, le créancier ne peut, sauf convention contraire, demander que l'exécution ou la peine convenue (art. 160 al. 1 CO).</w:t>
      </w:r>
    </w:p>
    <w:p>
      <w:r>
        <w:rPr>
          <w:b/>
        </w:rPr>
        <w:t>E. 3.3</w:t>
      </w:r>
    </w:p>
    <w:p>
      <w:r>
        <w:t>En l'espèce, la promesse de vente et d'achat signée par les parties devant notaire le 20 mars 2013 vaut titre authentique exécutoire, dans la mesure où elle remplit toutes les conditions posées par l'art. 347 CPC. En particulier, la cause juridique de la prestation est mentionnée à l'art. 1 des dispositions diverses, soit, pour la recourante, le paiement du prix de vente ou de l'indemnité et pour l'intimé,</w:t>
      </w:r>
    </w:p>
    <w:p>
      <w:r>
        <w:t>- 12/14 -</w:t>
      </w:r>
    </w:p>
    <w:p>
      <w:r>
        <w:t>C/23158/2014 le transfert de propriété ou le remboursement de l'acompte. Le prix de vente, le montant de l'indemnité et celui de l'acompte sont clairement déterminés, soit 2'300'000 fr., 30'000 fr. et 150'000 fr.</w:t>
      </w:r>
    </w:p>
    <w:p>
      <w:r>
        <w:t>Il n'est pas contesté que l'intimé a versé 150'000 fr. d'acompte au moment de la signature de l'acte. Il est également établi que ce n'est pas l'intimé, mais les époux EF______ qui ont acquis la parcelle. Le contrat de vente promis n'a ainsi pas été exécuté entre les parties, de sorte que l'intimé a droit au remboursement de l'acompte (prestation alternative visée par l'art. 1 des dispositions diverses). Contrairement à ce que soutient la recourante, et au vu du texte clair de l'acte, le montant de 150'000 fr. n'a pas été versé à titre de dédit. Il était imputable sur le prix de vente en cas de conclusion du contrat, l'art. 13 ne laissant pas de place pour une autre interprétation. Il devait être restitué si la vente n'était pas menée à chef (art. 1 des dispositions diverses). Ce n'est que si le promettant-acquéreur renonçait à la vente, malgré la réalisation de la condition suspensive de l'obtention de diverses autorisations dans le délai convenu, que la recourante pouvait prétendre au paiement d'une indemnité de 30'000 fr. Rien dans le dossier ne permet de considérer qu'elle pouvait prétendre au versement d'un autre montant conventionnel, si la vente n'avait pas lieu dans d'autres circonstances que celles visées par cet art. 6.</w:t>
      </w:r>
    </w:p>
    <w:p>
      <w:r>
        <w:t>S'agissant des conditions posées par l'art. 6 de l'acte, ouvrant le droit au versement d'une indemnité, la recourante n'a pas prouvé immédiatement que celles-ci étaient réalisées. Les circonstances exactes dans lesquelles la vente est intervenue au profit des époux EF______ plutôt qu'à celui de l'intimé ne ressortent en effet pas clairement des allégations des parties ni des pièces produites. L'intimé conteste avoir renoncé à exercer son droit, mais affirme l'avoir cédé. Dans la mesure où la vente a bien eu lieu, au prix mentionné dans l'acte, le droit de la recourante au versement de l'indemnité de 30'000 fr. n'est pas établi, ni même d'ailleurs rendu vraisemblable, de sorte que sur ce point l'acte ne vaut pas titre exécutoire et que la compensation ne pouvait être admise, comme l'a justement retenu le premier juge.</w:t>
      </w:r>
    </w:p>
    <w:p>
      <w:r>
        <w:t>S'agissant enfin des 8'162 fr. relatifs à la taxe d'écoulement, ceux-ci entrent manifestement dans le champ de l'art. 4 de l'acte, et sont donc à teneur de texte à charge du promettant-acquéreur; ils ne sont pas visés expressément par la clause d'exécution, laquelle ne vise que le prix de vente, l'indemnité et l'acompte susmentionnés. A cela s'ajoute qu'on ignore si l'intimé a cédé ses droits (et obligations résultant de l'acte) aux époux EF______, et dans l'affirmative, à quel moment, de sorte que la créance en remboursement de ce montant que la recourante objecte en compensation ne peut être considérée comme prouvée immédiatement. La décision du premier juge de refuser la compensation sur ce point sera donc également confirmée.</w:t>
      </w:r>
    </w:p>
    <w:p>
      <w:r>
        <w:t>- 13/14 -</w:t>
      </w:r>
    </w:p>
    <w:p>
      <w:r>
        <w:t>C/23158/2014</w:t>
      </w:r>
    </w:p>
    <w:p>
      <w:r>
        <w:t>Compte tenu du fait que le séquestre est fondé sur l'art. 271 al. 1 ch. 6 LP, il n'y a pas de place pour des sûretés.</w:t>
      </w:r>
    </w:p>
    <w:p>
      <w:r>
        <w:t>Au vu des considérations qui précèdent, le jugement querellé sera entièrement confirmé.</w:t>
      </w:r>
    </w:p>
    <w:p>
      <w:r>
        <w:rPr>
          <w:b/>
        </w:rPr>
        <w:t>E. 4</w:t>
      </w:r>
    </w:p>
    <w:p>
      <w:r>
        <w:t>La recourante, qui succombe, sera condamnée aux frais (art. 106 al. 1 CPC), fixés à 1'125 fr. (art. 61 al. 1 OELP), y compris ceux relatifs à la décision sur effet suspensif, et qui seront compensés avec l'avance du même montant fournie par elle, qui reste acquise à l'Etat (art. 111 al. 1 CPC).</w:t>
      </w:r>
    </w:p>
    <w:p>
      <w:r>
        <w:t>La recourante sera par ailleurs condamnée à s'acquitter des dépens de sa partie adverse, lesquels seront arrêtés à 3'500 fr., TVA et débours compris (art. 84, 85 al. 1, 89 et 90 RTFMC, art. 25 et 26 LaCC). * * * * *</w:t>
      </w:r>
    </w:p>
    <w:p>
      <w:r>
        <w:t>- 14/14 -</w:t>
      </w:r>
    </w:p>
    <w:p>
      <w:r>
        <w:t>C/23158/2014 PAR CES MOTIFS, La Chambre civile : A la forme : Déclare recevable le recours interjeté par A______ contre le jugement OSQ/17/2015 rendu le 5 mai 2015 par le Tribunal de première instance dans la cause C/23158/2014-19 SQP. Au fond : Le rejette. Confirme le jugement entrepris. Sur les frais : Arrête les frais judiciaires du recours à 1'125 fr. et dit qu'ils sont entièrement compensés par l'avance fournie par A______, qui reste acquise à l'Etat de Genève. Les met à la charge de A______. Condamne A______ à verser 3'500 fr. à B______, à titre de dépens de recours. Siégeant : Monsieur Laurent RIEBEN, président; Madame Pauline ERARD,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