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ACJC/93/2026 vom 21. Januar 2026</w:t>
      </w:r>
    </w:p>
    <w:p>
      <w:r>
        <w:t>GE Cour de justice, 2026-01-21, FR</w:t>
      </w:r>
    </w:p>
    <w:p>
      <w:r>
        <w:rPr>
          <w:b/>
        </w:rPr>
        <w:t xml:space="preserve">Quelle: </w:t>
      </w:r>
      <w:r>
        <w:t>https://mcp.opencaselaw.ch/entscheid/ge_gerichte_ACJC_93_2026</w:t>
      </w:r>
    </w:p>
    <w:p>
      <w:r>
        <w:t>FR: GE_GERICHTE ACJC/93/2026 du 21 janvier 2026</w:t>
      </w:r>
    </w:p>
    <w:p>
      <w:r>
        <w:t>IT: GE_GERICHTE ACJC/93/2026 del 21 gennaio 2026</w:t>
      </w:r>
    </w:p>
    <w:p>
      <w:pPr>
        <w:pStyle w:val="Heading2"/>
      </w:pPr>
      <w:r>
        <w:t>Erwägungen</w:t>
      </w:r>
    </w:p>
    <w:p>
      <w:r>
        <w:rPr>
          <w:b/>
        </w:rPr>
        <w:t>E. 1.1</w:t>
      </w:r>
    </w:p>
    <w:p>
      <w:r>
        <w:t>Le jugement entrepris ayant été communiqué aux parties après le 1er janvier 2025, les voies de droit prévues par le nouveau droit de procédure sont applicables (art. 404 al. 1 et 405 al. 1 CPC).</w:t>
      </w:r>
    </w:p>
    <w:p>
      <w:r>
        <w:rPr>
          <w:b/>
        </w:rPr>
        <w:t>E. 1.2</w:t>
      </w:r>
    </w:p>
    <w:p>
      <w:r>
        <w:t>Le jugement attaqué est une décision finale rendue dans une cause patrimoniale dont la valeur litigieuse est supérieure à 10'000 fr., de sorte que la voie de l'appel est ouverte (art. 308 al. 1 let. a et al. 2 CPC). Déposé dans le délai utile et selon la forme prescrite par la loi (art. 130 al. 1, 131, 142 al. 1 et al. 3 et 311 al. 1 CPC), l'appel est recevable.</w:t>
      </w:r>
    </w:p>
    <w:p>
      <w:r>
        <w:t>Formé dans la réponse à l'appel, laquelle a été déposée dans le délai de trente jours fixé à cette fin et dans le respect des formes énoncées ci-dessus (art. 312 al. 2 et 313 al. 1 CPC), l'appel joint est également recevable.</w:t>
      </w:r>
    </w:p>
    <w:p>
      <w:r>
        <w:t>Les écritures subséquentes des parties sont également recevables (art. 316 al. 2 CPC; ATF 146 III 97 consid. 3.4.1). Par souci de simplification, A______ sera ci-après désigné en qualité d'appelant et la FONDATION C______ en qualité d'intimée.</w:t>
      </w:r>
    </w:p>
    <w:p>
      <w:r>
        <w:rPr>
          <w:b/>
        </w:rPr>
        <w:t>E. 1.3</w:t>
      </w:r>
    </w:p>
    <w:p>
      <w:r>
        <w:t>La Cour revoit la cause en fait et en droit avec un plein pouvoir d'examen (art. 310 CPC) et applique le droit d'office (art. 57 CPC). Elle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2</w:t>
      </w:r>
    </w:p>
    <w:p>
      <w:r>
        <w:t>Préalablement, l’appelant, "en tant que de besoin", persiste à solliciter l’audition de D______, enseignante d’éducation physique au DIP auprès de l’intimée, puis auprès d’un Cycle d’orientation genevois. Le Tribunal a considéré, par une appréciation anticipée des preuves, que l’audition de ce témoin n’était pas décisive pour l’issue du litige, car les enquêtes effectuées et les moyens réunis ne justifiaient pas de compléter davantage l’instruction de la cause, dès lors qu’ils ne modifieraient pas son opinion.</w:t>
      </w:r>
    </w:p>
    <w:p>
      <w:r>
        <w:rPr>
          <w:b/>
        </w:rPr>
        <w:t>E. 2.1.1</w:t>
      </w:r>
    </w:p>
    <w:p>
      <w:r>
        <w:t>Selon l’art. 311 al. 1 CPC, l’appel doit être motivé.</w:t>
      </w:r>
    </w:p>
    <w:p>
      <w:r>
        <w:t>Cela signifie que l’appelant doit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w:t>
      </w:r>
    </w:p>
    <w:p>
      <w:r>
        <w:t>- 15/25 -</w:t>
      </w:r>
    </w:p>
    <w:p>
      <w:r>
        <w:t>C/24129/2022 désignation précise des passages de la décision que le recourant attaque et des pièces du dossier sur lesquelles repose sa critique (ATF 147 III 176 consid. 4.2.1; 141 III 569 consid. 2.3.3; 138 III 374 consid. 4.3.1; arrêt du Tribunal fédéral 5A_781/2024 du 9 mai 2025 consid. 3.3.2).</w:t>
      </w:r>
    </w:p>
    <w:p>
      <w:r>
        <w:rPr>
          <w:b/>
        </w:rPr>
        <w:t>E. 2.1.2</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(arrêt du Tribunal fédéral 5A_505/2021 du 29 août 2022 consid. 3.3.2). Le droit à la preuve, comme le droit à la contre-preuve, découlent de l'art. 8 CC ou, dans certains cas, de l'art. 29 al. 2 Cst., dispositions qui n'excluent pas l'appréciation anticipée des preuves (cf. ATF 133 III 189 consid. 5.2.2; 133 III 295 consid. 7.1; 129 III 18 consid. 2.6).</w:t>
      </w:r>
    </w:p>
    <w:p>
      <w:r>
        <w:t>L'instance d'appel peut notamment renoncer à ordonner une mesure d'instruction lorsque celle-ci paraît, selon une appréciation anticipée des preuves, manifestement inadéquate, porter sur un fait non pertinent ou qui n'est pas de nature à ébranler la conviction qu'elle a acquise sur la base des éléments déjà recueillis (ATF 138 III 374 consid. 4.3.1-4.3.2; 130 III 734 consid. 2.2.3; arrêt du Tribunal fédéral 5A_86/2016 du 5 septembre 2016 consid. 5.2.2).</w:t>
      </w:r>
    </w:p>
    <w:p>
      <w:r>
        <w:t>L'autorité jouit d'un large pouvoir d'appréciation (ATF 142 III 413 consid. 2.2.1; arrêt du Tribunal fédéral 5A_37/2017 du 10 juillet 2017 consid. 3.1.2).</w:t>
      </w:r>
    </w:p>
    <w:p>
      <w:r>
        <w:rPr>
          <w:b/>
        </w:rPr>
        <w:t>E. 2.1.3</w:t>
      </w:r>
    </w:p>
    <w:p>
      <w:r>
        <w:t>Selon l’art. 320 CP, quiconque révèle un secret à lui confié en sa qualité de membre d’une autorité ou de fonctionnaire, ou dont il a eu connaissance à raison de sa charge ou de son emploi ou en tant qu’auxiliaire d’une autorité ou d’un fonctionnaire, est puni d’une peine privative de liberté de trois ans au plus ou d’une peine pécuniaire. La révélation demeure punissable alors même que la charge ou l’emploi ou l’activité auxiliaire a pris fin (al. 1). La révélation n’est pas punissable si elle est faite avec le consentement écrit de l’autorité supérieure (al. 2).</w:t>
      </w:r>
    </w:p>
    <w:p>
      <w:r>
        <w:rPr>
          <w:b/>
        </w:rPr>
        <w:t>E. 2.1.4</w:t>
      </w:r>
    </w:p>
    <w:p>
      <w:r>
        <w:t>Selon l'art. 152 al. 2 CPC, le juge ne prend en considération les moyens de preuve obtenus de manière illicite que si l'intérêt à la manifestation de la vérité est prépondérant. La preuve illicite est obtenue en violation d'une norme de droit matériel, laquelle doit protéger le bien juridique lésé contre l'atteinte en cause. La preuve obtenue illicitement n'est utilisable que d'une manière restrictive. Le juge doit en particulier procéder à une pesée de l'intérêt à la protection du bien lésé par l'obtention illicite</w:t>
      </w:r>
    </w:p>
    <w:p>
      <w:r>
        <w:t>- 16/25 -</w:t>
      </w:r>
    </w:p>
    <w:p>
      <w:r>
        <w:t>C/24129/2022 et de l'intérêt à la manifestation de la vérité (arrêts du Tribunal fédéral 4A_133/2024 du 5 mai 2025 consid. 5.3.1; 4A_294/2013 du 11 décembre 2013 consid. 3.1).</w:t>
      </w:r>
    </w:p>
    <w:p>
      <w:r>
        <w:rPr>
          <w:b/>
        </w:rPr>
        <w:t>E. 2.2</w:t>
      </w:r>
    </w:p>
    <w:p>
      <w:r>
        <w:t>En l’espèce, l’appelant sollicite l’audition du témoin uniquement "en tant que de besoin", sans motiver en quoi celle-ci serait nécessaire pour l’issue du litige. Son chef de conclusions préalables est, dès lors, irrecevable, pour défaut de motivation. En tout état de cause, le Tribunal a correctement usé de son pouvoir d’appréciation en renonçant, au terme de l’instruction, à une audition complémentaire, puisque les preuves administrées et les pièces déjà produites lui avaient, avec raison, déjà permis de se forger une opinion, sans que ladite audition soit susceptible de la modifier. Par ailleurs, ce témoin n’avait pas été délié de son secret de fonction, de sorte que cette personne ne pouvait pas rédiger une attestation le 9 mars 2023. Cette pièce est, par conséquent, irrecevable, y compris au regard de l’art. 152 al. 2 CPC en l’absence d’intérêt prépondérant à la manifestation de la vérité. La Cour, à l’instar du Tribunal, s’estime être suffisamment renseignée sur le litige et dispose de tous les éléments utiles et nécessaires pour statuer. Il ne sera, dès lors, pas donné suite à la réquisition de preuve sollicitée par l’appelant.</w:t>
      </w:r>
    </w:p>
    <w:p>
      <w:r>
        <w:rPr>
          <w:b/>
        </w:rPr>
        <w:t>E. 3.1</w:t>
      </w:r>
    </w:p>
    <w:p>
      <w:r>
        <w:t>L’appelant, rémunéré en classe 17, persiste à demander la différence de salaire qu’il estime lui être due au titre de la classe 19.</w:t>
      </w:r>
    </w:p>
    <w:p>
      <w:r>
        <w:rPr>
          <w:b/>
        </w:rPr>
        <w:t>E. 3.1.1</w:t>
      </w:r>
    </w:p>
    <w:p>
      <w:r>
        <w:t>Le Tribunal a rappelé que le salaire de l’appelant était calculé en fonction de l’échelle des traitements de l’Etat et que la CCT applicable renvoyait à la LTrait, applicable par analogie. Il a ajouté que les parties étaient également liées par un rapport de droit privé et que la rémunération de l’appelant obéissait au principe de la liberté contractuelle. L’appelant avait été promu de la classe 13 à la classe 17. Ensuite, il a constaté que ni le contrat de travail, ni la CCT ne faisaient mention d’une classe de fonction pour les maîtres d’éducation physique, à la différence des éducateurs spécialisés, dont l’art. 23 al. 2 CCT fixait leur collocation en classe 15. Il en a déduit qu’aucun élément ne permettait de retenir que les partenaires sociaux avaient voulu, de manière concordante, soumettre la fonction de maître d’éducation physique à une classe déterminée et, qu’à rigueur de dossier, aucun élément ne plaidait en faveur d’une application analogique de la classe de salaire fixée par l’Etat de Genève. Le Tribunal a déduit de ce silence que les partenaires sociaux n’avaient pas voulu fixer la classe de fonction des maîtres d’éducation physique. L’appelant soutenait en vain que les fonctions de maître d’éducation physique du DIP et ceux de la C______ étaient interchangeables, puisque lui-même n’aurait</w:t>
      </w:r>
    </w:p>
    <w:p>
      <w:r>
        <w:t>- 17/25 -</w:t>
      </w:r>
    </w:p>
    <w:p>
      <w:r>
        <w:t>C/24129/2022 pas pu être engagé en classe 19 par le DIP, faute d’être titulaire d’une maîtrise universitaire MASE I ou II. Par ailleurs, la C______, à l’instar du DIP, différenciait d’une classe les enseignants spécialisés (classe 18) de ceux d’éducation physique (classe 17), de sorte que le maintien de ceux-ci en classe 17 répondait à une nécessité de cohérence dans l’organigramme de la FONDATION C______. Ce motif, qualifié de légitime par le Tribunal, devait être protégé. Enfin, selon la juridiction de première instance, l’intention concordante des parties n’était pas de se lier, sans marge de manœuvre possible, aux décisions étatiques. Ni l’arrêt ATA/423/2021, ni la décision du Conseil d’Etat n’avaient d’effets contraignants pour la FONDATION C______, de sorte qu’elle n’avait pas l’obligation de réévaluer la fonction de l’appelant en classe 19. L’appelant, qui avait la charge de la preuve, n’avait pas démontré que son salaire devait être réévalué en classe 19, avec effet rétroactif au 1er octobre 2019, raison pour laquelle il a été débouté des fins de sa prétention.</w:t>
      </w:r>
    </w:p>
    <w:p>
      <w:r>
        <w:rPr>
          <w:b/>
        </w:rPr>
        <w:t>E. 3.1.2</w:t>
      </w:r>
    </w:p>
    <w:p>
      <w:r>
        <w:t>Selon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Selon la jurisprudence, pour interpréter une clause contractuelle selon le principe de la confiance, il convient de partir en premier lieu du texte de ladite clause. En règle générale, les expressions et termes choisis par les cocontractants devront être compris dans leur sens objectif. Un texte clair prévaudra en principe, dans le processus d'interprétation, contre les autres moyens d'interprétation. Toutefois, il ressort de l'art. 18 al. 1 CO que le sens d'un texte, même clair, n'est pas forcément déterminant et que l'interprétation purement littérale est au contraire prohibée. En effet, même si la teneur d'une clause contractuelle paraît claire à première vue, il peut résulter d'autres conditions du contrat, du but poursuivi par les parties ou d'autres circonstances que le texte de la clause litigieuse ne restitue pas exactement le sens de l'accord conclu (ATF 144 III 93 consid. 5.2.2; 131 III 606 consid. 4.2; 128 III 265 consid. 3a; 127 III 444 consid. 1b). Pour cette raison, la jurisprudence ne considère pas comme nécessairement décisif en soi le fait que les parties ont eu recours à des expressions juridiques précises (ATF 131 III 606 consid. 4.2; contra : ATF 111 II 284 consid. 2 et la référence citée). En particulier, on ne saurait "faire fond", sans plus ample examen, sur le texte d'une clause lorsque la partie qu'elle oblige est une personne étrangère ou quand cette partie a manifesté sa volonté dans une autre langue que la sienne. Cependant, une interprétation littérale stricte pourra se justifier à l'égard de personnes qui sont</w:t>
      </w:r>
    </w:p>
    <w:p>
      <w:r>
        <w:t>- 18/25 -</w:t>
      </w:r>
    </w:p>
    <w:p>
      <w:r>
        <w:t>C/24129/2022 rompues à l'usage de termes utilisés dans certaines branches (ATF 131 III 606 consid. 4.2; 129 III 702 consid. 2.4.1). Il s’ensuit que le juge doit tout d'abord s'efforcer de déterminer la réelle et commune intention des parties (interprétation subjective) et, pour y procéder, il doit prendre en considération toutes les déclarations et attitudes des parties, ainsi que les circonstances antérieures, concomitantes et postérieures à la conclusion du contrat, le comportement ultérieur des parties permettant d'établir quelles étaient à l'époque leurs conceptions (ATF 144 III 93 consid. 5.2.2; arrêt du Tribunal fédéral 5A_275/2025 du 22 octobre 2025 destiné à la publication consid. 3.4.2). En second lieu, subsidiairement, si le juge ne parvient pas à déterminer la volonté réelle et commune des parties, il doit interpréter les déclarations et comportements des parties selon le principe de la confiance, en recherchant comment une déclaration ou une attitude pouvait être comprise de bonne foi en fonction de l'ensemble des circonstances (ATF 144 III 93 consid. 5.2.3; arrêt du Tribunal fédéral 5A_275/2025 du 22 octobre 2025 destiné à la publication consid. 3.4.2).</w:t>
      </w:r>
    </w:p>
    <w:p>
      <w:r>
        <w:rPr>
          <w:b/>
        </w:rPr>
        <w:t>E. 3.1.3</w:t>
      </w:r>
    </w:p>
    <w:p>
      <w:r>
        <w:t>Selon l’art. 4 LTrait, le Conseil d’Etat établit et tient à jour le règlement et le tableau de classement des fonctions permettant de fixer la rémunération de chaque membre du personnel en conformité de l’échelle des traitements (al. 1). Dans ce classement il doit être tenu compte du rang hiérarchique et des caractéristiques de chaque fonction en prenant en considération notamment l’étendue qualitative et quantitative des attributions dévolues et des obligations à assumer, les connaissances professionnelles et aptitudes requises, l’autonomie et les responsabilités, les exigences, inconvénients, difficultés et dangers que comporte l’exercice de la fonction (al.2). Les règlements et tableaux de classement des fonctions, établis et tenus à jour par d’autres autorités ou organes de nomination dans le cadre de leurs compétences respectives, sont soumis à l’approbation du Conseil d’Etat (al. 3). Selon l’art. 2 RTrait, la classe prévue pour la fonction est déterminée par le résultat de l’évaluation des fonctions. La liste des fonctions, mise à jour et approuvée par le Conseil d’Etat, est à disposition à l’office du personnel de l’Etat. Selon l’art. 4 RTrait, en principe, seuls les candidats qualifiés peuvent être engagés; toutefois si, lors de son engagement, le futur titulaire n'a pas encore le titre correspondant au niveau d'exigence requis pour la fonction, il se voit attribuer le code complémentaire 9, impliquant une diminution maximale de 2 classes par rapport à la classe prévue pour la fonction. Le même code est applicable lors de la nomination. A Genève, le site internet &lt;ge.ch&gt; mentionne sous la rubrique "Devenir enseignant ou enseignante", au ch. 4, les diplômes requis dans l’enseignement secondaire, à savoir, pour l’éducation physique, un grade universitaire reconnu et un diplôme</w:t>
      </w:r>
    </w:p>
    <w:p>
      <w:r>
        <w:t>- 19/25 -</w:t>
      </w:r>
    </w:p>
    <w:p>
      <w:r>
        <w:t>C/24129/2022 pédagogique pour l’enseignement au secondaire I et II, dont le titre requis dans ce canton est (MASE), lequel s’obtient à l’Université de Genève, au sein de l’IUFE. Sous la rubrique "Postuler dans l’enseignement secondaire", le ch. 3 précise que le corps enseignant secondaire est rémunéré au prorata du taux d’activité, selon l’échelle salariale de l’Etat de Genève et les classes suivantes indiquées dans son tableau, à savoir, pour l’éducation physique : - sans titre académique : 15 ; - sans titre pédagogique : 17 et - avec titre pédagogique : 19.</w:t>
      </w:r>
    </w:p>
    <w:p>
      <w:r>
        <w:rPr>
          <w:b/>
        </w:rPr>
        <w:t>E. 3.2</w:t>
      </w:r>
    </w:p>
    <w:p>
      <w:r>
        <w:t>En l’espèce, les parties admettent avec raison que le contrat de travail signé le 16 septembre 2009 relève du droit privé, qu’il est régi par ses dispositions particulières, la CCT et le CO pour le surplus. Selon le contrat, le salaire est calculé en fonction de l’échelle des traitements de l’Etat (art. 6). Selon la CCT, le salaire des employés fixes ainsi que son augmentation annuelle sont déterminés d’après les règles de la loi concernant le traitement et les diverses prestations allouées aux membres du personnel de l’Etat, du pouvoir judiciaire et des établissements hospitaliers (LTrait et RTrait), applicables par analogie (art. 23 CCT). La teneur de ces deux clauses est explicite et il n’existe pas de contradiction entre elles, de sorte qu’à rigueur de texte, la rémunération des employés de l’intimée est équivalente à celle que l’Etat alloue à son personnel, ce qui s’explique d’ailleurs par l’origine de l’intimée, qui est une émanation du DIP. Afin de s’assurer que lesdites rédactions expriment effectivement la volonté réelle et commune des parties au moment de la signature du contrat de travail, il convient d’examiner si leurs comportements ultérieurs confortent la teneur des art. 6 du contrat de travail et 23 CT ou s’ils s’en distancient. A cet égard, l’intimée s’est alignée sur les décisions de l’Etat de Genève. Ainsi, lorsque celui-ci a suspendu les annuités de la fonction publique dès 2016, l’intimée a également retenu celles de ses employés. Puis, lorsque la fonction publique a obtenu le rattrapage desdites annuités, l’intimée les a également reversées à ses employés. Cela permet de conclure que le texte clair des art. 6 du contrat de travail et 23 CCT exprime la volonté réciproque et concordante des parties, corroborée par les décisions prises par l’intimée, qu’elle aligne la rémunération de ses employés sur celle versée par l’État à son personnel.</w:t>
      </w:r>
    </w:p>
    <w:p>
      <w:r>
        <w:t>- 20/25 -</w:t>
      </w:r>
    </w:p>
    <w:p>
      <w:r>
        <w:t>C/24129/2022 Le profil de la fonction de maître d’éducation physique au sein de l’Etat de Genève a été revalorisée et est situé en classe maximum 19 de l’échelle des traitements, à la suite de l’arrêt ATA/423/2021 du 20 avril 2021. Or, la valorisation en question concerne les enseignants titulaires des diplômes requis pour l’enseignement secondaire, ce qui n’est pas le cas de l’appelant. En effet, il n'est pas titulaire du diplôme pédagogique pour l’enseignement au secondaire, à savoir le MASE. Par conséquent, en application de l’art. 4 RTrait par analogie et du tableau relatif au ch. 3 de la postulation dans l’enseignement secondaire, sa rémunération ne peut pas être portée au-delà de classe 17. L’appel n’est pas fondé, de sorte que le ch. 4 du dispositif du jugement entrepris sera ainsi confirmé.</w:t>
      </w:r>
    </w:p>
    <w:p>
      <w:r>
        <w:rPr>
          <w:b/>
        </w:rPr>
        <w:t>E. 4</w:t>
      </w:r>
    </w:p>
    <w:p>
      <w:r>
        <w:t>mai 2016 consid. 2.3).</w:t>
      </w:r>
    </w:p>
    <w:p>
      <w:r>
        <w:rPr>
          <w:b/>
        </w:rPr>
        <w:t>E. 4.1.1</w:t>
      </w:r>
    </w:p>
    <w:p>
      <w:r>
        <w:t>Selon l’art. 335 al. 1 CO, le contrat de travail conclu pour une durée indéterminée peut être résilié par chacune des parties.</w:t>
      </w:r>
    </w:p>
    <w:p>
      <w:r>
        <w:t>- 21/25 -</w:t>
      </w:r>
    </w:p>
    <w:p>
      <w:r>
        <w:t>C/24129/2022 En droit suisse du travail, la liberté de la résiliation prévaut, de sorte que, pour être valable, un congé n'a en principe pas besoin de reposer sur un motif particulier (arrêt du Tribunal fédéral 4A_335/2023 du 20 octobre 2023 consid. 4.1.1). Le droit fondamental de chaque cocontractant de mettre unilatéralement fin au contrat est cependant limité par les dispositions sur le congé abusif (art. 336 ss CO; ATF 136 III 513 consid. 2.3; 131 III 535 consid. 4.1). C'est le lieu de souligner la différence de nature existant entre la résiliation ordinaire au sens de l'art. 335 CO (qui entre ici seule en ligne de compte), que l'employeur est libre de notifier à moins que l'employé ne démontre son caractère abusif, et le congé immédiat (art. 337 CO), que l'employeur ne peut mettre en œuvre que s'il démontre l'existence d'un juste motif (arrêts du Tribunal fédéral 4A_335/2023 du 20 octobre 2023 consid. 4.1.1; 4A_3/2023 du 30 août 2023 consid. 4.1). Ce n'est pas le but du congé, à savoir celui de mettre fin à la relation contractuelle, qui est illicite, mais le motif intérieur qui a poussé de manière décisive l'une des parties à mettre fin au contrat. Pour que le congé soit abusif, il doit exister un lien de causalité entre le motif répréhensible et le licenciement; en d'autres termes, il faut que le motif illicite ait joué un rôle déterminant dans la décision de la partie de résilier le contrat (arrêts du Tribunal fédéral 4A_185/2024 du 10 septembre 2024 consid. 3.1; SJ 1995 I 798; ACJC/1756/2025 du 8 décembre 2025 consid. 2.1 et la référence citée). Pour qu'un congé soit abusif, il doit exister un lien de causalité entre le motif répréhensible et le licenciement. En d'autres termes, il faut que le motif illicite ait joué un rôle déterminant dans la décision de l'employeur de résilier le contrat. Lorsque plusieurs motifs de congé entrent en jeu et que l'un d'eux n'est pas digne de protection, il convient de déterminer si, sans le motif illicite, le contrat aurait tout de même été résilié : si tel est le cas, le congé n'est pas abusif (arrêts du Tribunal fédéral 4A_587/2023 du 20 août 2024 consid. 5.1.1; 4A_215/2022 du 23 août 2022 consid. 4.1; 4A_437/2015 du 4 décembre 2015 consid. 2.2.3; 4A_316/2012 du 1er novembre 2012 consid. 2.1).</w:t>
      </w:r>
    </w:p>
    <w:p>
      <w:r>
        <w:rPr>
          <w:b/>
        </w:rPr>
        <w:t>E. 4.1.2</w:t>
      </w:r>
    </w:p>
    <w:p>
      <w:r>
        <w:t>Selon l'art. 336 al. 1 CO, le congé est notamment abusif lorsqu'il est donné par une partie parce que l’autre partie fait valoir de bonne foi des prétentions résultant du contrat de travail (let. d). Cette disposition vise le "congé-représailles" et tend à empêcher que le licenciement soit utilisé pour punir l'employé d'avoir fait valoir des prétentions juridiques résultant du contrat de travail, en supposant de bonne foi que les droits dont il soutenait être le titulaire lui étaient acquis (ATF 136 III 513 consid. 2.4; arrêts du Tribunal fédéral 4A_402/2023 du 26 février 2024 consid. 5.1; 4A_89/2022 du 20 septembre 2022 consid. 5.2; 4A_407/2008 du 18 décembre 2008 consid 4.1; 4C_84/2005 du 16 juin 2005 consid. 3.1).</w:t>
      </w:r>
    </w:p>
    <w:p>
      <w:r>
        <w:t>- 22/25 -</w:t>
      </w:r>
    </w:p>
    <w:p>
      <w:r>
        <w:t>C/24129/2022 Il faut que l'autre partie ait eu la volonté d'exercer un droit, qu'elle ait été de bonne foi, même si sa prétention, en réalité, n'existait pas (ATF 136 III 513 consid. 2.4 et les arrêts cités). Cette norme ne doit pas permettre à un travailleur de bloquer un congé en soi admissible ou de faire valoir des prétentions totalement injustifiées (ATF 136 III 513 consid. 2.4).</w:t>
      </w:r>
    </w:p>
    <w:p>
      <w:r>
        <w:rPr>
          <w:b/>
        </w:rPr>
        <w:t>E. 4.1.3</w:t>
      </w:r>
    </w:p>
    <w:p>
      <w:r>
        <w:t>La liste dressée à l’art. 336 al. 1 CO n'est toutefois pas exhaustive et une résiliation abusive peut aussi être admise dans d'autres circonstances, en application de l'art. 2 al. 2 CC. Il faut cependant que ces autres situations apparaissent comparables, par leur gravité, aux cas expressément envisagés par l'art. 336 CO (ATF 136 III 513 consid. 2.3; 132 III 115 consid. 2.1). Ainsi, la résiliation ordinaire est abusive lorsque l'employeur la motive en accusant le travailleur d'un comportement contraire à l'honneur, s'il apparaît que l'accusation est infondée et que, de plus, l'employeur l'a élevée sans s'appuyer sur aucun indice sérieux et sans avoir entrepris aucune vérification (arrêts du Tribunal fédéral 4A_302/2023 du 1er mai 2024 consid. 4.1; 4A_335/2023 du 20 octobre 2023 consid. 4.1.1; 4A_245/2019 du 9 janvier 2020 consid. 4.2; 4A_99/2012 du 30 avril 2012 consid. 2.2.1). L'employeur doit ainsi s'efforcer de vérifier les faits dénoncés. Les démarches à accomplir par l'employeur ne sauraient néanmoins être envisagées de manière abstraite et absolue; elles dépendent au contraire des circonstances concrètes de chaque cas (arrêts du Tribunal fédéral 4A_302/2023 du 1er mai 2024 consid. 4.1; 4A_335/2023 du 20 octobre 2023 consid. 4.1.1; 4A_694/2015 du 4 mai 2016 consid. 2.3). La résiliation ordinaire n'est toutefois pas abusive du seul fait qu'en définitive, le cas échéant, l'accusation élevée contre le travailleur se révèle infondée ou ne peut pas être confirmée; l'abus suppose en effet, de surcroît, que l'employeur ait accusé le travailleur avec légèreté, sans justification raisonnable (arrêts du Tribunal fédéral 4A_335/2023 du 20 octobre 2023 consid. 4.1.1; 4A_694/2015 du 4 mai 2016 consid. 2.3). La résiliation ordinaire ne saurait être soumise à des conditions plus strictes qu'un licenciement immédiat pour de justes motifs, régi par l'art. 337 CO; or, en l'état de sa jurisprudence, le Tribunal fédéral n'exclut pas que le simple soupçon d'un grave méfait puisse justifier un licenciement immédiat (arrêts du Tribunal fédéral 4A_335/2023 du 20 octobre 2023 consid. 4.1.1; 4A_694/2015 du</w:t>
      </w:r>
    </w:p>
    <w:p>
      <w:r>
        <w:rPr>
          <w:b/>
        </w:rPr>
        <w:t>E. 4.1.4</w:t>
      </w:r>
    </w:p>
    <w:p>
      <w:r>
        <w:t>Pour pouvoir examiner si la résiliation ordinaire est abusive ou non, il faut déterminer quel est le motif de congé invoqué par la partie qui a résilié</w:t>
      </w:r>
    </w:p>
    <w:p>
      <w:r>
        <w:t>- 23/25 -</w:t>
      </w:r>
    </w:p>
    <w:p>
      <w:r>
        <w:t>C/24129/2022 (ATF 132 III 115 consid. 2; 131 III 535 consid. 4; 125 III 70 consid. 2; arrêt du Tribunal fédéral 4A_302/2023 du 1er mai 2024 consid. 4.1). Le motif de la résiliation relève du fait (ATF 136 III 513 consid. 2.3; 131 III 535 consid. 4.3; 130 III 699 consid. 4.1; arrêt du Tribunal fédéral 4A_302/2023 du 1er mai 2024 consid. 4.1). En revanche, savoir si le motif ainsi établi donne lieu à un congé abusif ou non relève de l'application du droit (arrêts du Tribunal fédéral 4A_109/2024 du 18 mars 2025 consid. 4.1.2; 4A_302/2023 du 1er mai 2024 consid. 4.1; 4A_186/2022 du 22 août 2022 consid. 4; 4A_44/2021 du 2 juin 2021 consid. 4.3.2; 4A_126/2020 du 30 octobre 2020 consid. 3). L’instance cantonale dispose d’un certain pouvoir d’appréciation à cet égard (arrêts du Tribunal fédéral 4A_109/2024 du 18 mars 2025 consid. 4.1.2; 4A_302/2023 du 1er mai 2024 consid. 4.1; 4A_117/2023 du 15 mai 2023 consid. 3.4.5).</w:t>
      </w:r>
    </w:p>
    <w:p>
      <w:r>
        <w:rPr>
          <w:b/>
        </w:rPr>
        <w:t>E. 4.2</w:t>
      </w:r>
    </w:p>
    <w:p>
      <w:r>
        <w:t>En l’espèce, le litige est circonscrit à la question de savoir si c’est avec raison ou non que le Tribunal a qualifié d’abusif le licenciement donné par l’intimée le 20 septembre 2022. En l’occurrence, l’intimée a motivé le licenciement par la rupture des liens de confiance, à la suite de l’utilisation non autorisée d’un appareil enregistreur lors de l’entretien du 24 juin 2022, sans lequel il n’aurait pas pu dresser un verbatim. L’intimée n’a pas établi l’utilisation d’un appareil enregistreur durant ledit entretien. Tout d’abord, elle n’a pas pris l’appelant en flagrant délit d’enregistrement, ensuite son directeur général a déclaré au Tribunal qu’il n’avait pas vu l’appelant sortir un téléphone et enfin, il a confirmé qu’il avait vu l’appelant prendre des notes. L’intimée a ainsi accusé l’appelant avec une certaine légèreté, n’hésitant pas à s’exposer au risque d’une diffamation (art. 173 CP). L’appelant, a, pour sa part, expliqué avoir préalablement écrit ses questions sur une feuille afin de noter uniquement les réponses, en style télégraphique, ce qui ressort de sa version manuscrite de prise de notes. Ainsi, l’appelant, par son sens de l’anticipation et de l’organisation, s’est donné les moyens de rédiger un procès- verbal détaillé, de sorte qu’il ne peut pas être retenu que le verbatim ne soit que le résultat d’un enregistrement. Par conséquent, les suspicions de l’intimée, corroborées par aucun élément probant, ne la légitimaient pas à notifier un "congé-soupçon". Par conséquent, ce motif de licenciement est abusif.</w:t>
      </w:r>
    </w:p>
    <w:p>
      <w:r>
        <w:t>En réalité, l’intimée, qui a acquiescé à la réduction du taux d’activité de l’appelant, l’a licencié à la suite de son refus de signer son nouveau contrat maintenant sa rémunération en classe 17, au lieu de la porter en classe 19. Or, il n’était pas question pour l’appelant de faire valoir à ce moment-là de bonne foi</w:t>
      </w:r>
    </w:p>
    <w:p>
      <w:r>
        <w:t>- 24/25 -</w:t>
      </w:r>
    </w:p>
    <w:p>
      <w:r>
        <w:t>C/24129/2022 des prétentions résultant du contrat de travail car il savait, au plus tard à la suite des explications données le 9 mai 2022 par l’intimée, qu’il ne pouvait pas prétendre à deux classes de traitement supérieures à la sienne sans bénéficier d’une formation complémentaire d’enseignant. Cette information lui était en outre accessible par sa fréquentation des maîtres d’enseignements physiques sous contrat du DIP qui exerçaient au sein de la C______, ainsi qu’en consultant internet ou en se renseignant auprès du DIP.</w:t>
      </w:r>
    </w:p>
    <w:p>
      <w:r>
        <w:t>Face au refus de l’appelant d’accepter la rémunération que l’intimée lui a légitimement proposée, celle-ci n’avait pas d’autre choix que de procéder à un licenciement pour mettre un terme au contrat de durée indéterminée.</w:t>
      </w:r>
    </w:p>
    <w:p>
      <w:r>
        <w:t>Pour le surplus, le non-respect de la procédure de licenciement selon les art. 33 et 34 CCT n’est pas pertinent, puisqu’un entretien d’ajustement n’aurait pas permis aux parties de s’accorder sur une classe de traitement, chacune ayant fermement persisté dans sa prise de position.</w:t>
      </w:r>
    </w:p>
    <w:p>
      <w:r>
        <w:t>L’appel joint est fondé, de sorte que le chiffre 2 du dispositif du jugement entrepris sera annulé et l’appelant débouté de sa prétention en paiement d’une indemnité pour cause de licenciement abusif.</w:t>
      </w:r>
    </w:p>
    <w:p>
      <w:r>
        <w:rPr>
          <w:b/>
        </w:rPr>
        <w:t>E. 5</w:t>
      </w:r>
    </w:p>
    <w:p>
      <w:r>
        <w:t>Au regard de la valeur litigieuse, inférieure à 50'000 fr., il n'y a pas lieu de percevoir des frais judiciaires d'appel (art. 116 CPC, art. 19 al. 3 let. c LaCC). Par ailleurs, s'agissant d'une cause soumise à la juridiction prud'homale, il n'est pas alloué de dépens (art. 22 al. 2 LaCC). * * * * *</w:t>
      </w:r>
    </w:p>
    <w:p>
      <w:r>
        <w:t>- 25/25 -</w:t>
      </w:r>
    </w:p>
    <w:p>
      <w:r>
        <w:t>C/24129/2022</w:t>
      </w:r>
    </w:p>
    <w:p>
      <w:r>
        <w:t>PAR CES MOTIFS, La Chambre des prud'hommes :</w:t>
      </w:r>
    </w:p>
    <w:p>
      <w:r>
        <w:t>À la forme : Déclare recevable l'appel interjeté le 10 février 2025 par A______ contre le chiffre 4 du dispositif du jugement JTPH/4/2025 rendu le 8 janvier 2025 par le Tribunal des prud'hommes dans la cause C/24129/2022. Déclare recevable l'appel joint formé le 18 mars 2025 par la FONDATION C______ contre le chiffre 2 du dispositif du jugement entrepris. Au fond : Annule le ch. 2 du du dispositif de ce jugement et, statuant à nouveau : Déboute A______ des fins de sa prétention en paiement d’une indemnité à titre de licenciement abusif. Confirme le jugement entrepris pour le surplus. Déboute les parties de toutes autres conclusions. Dit qu'il n'est pas perçu de frais judiciaires d'appel ni alloué de dépens d'appel. Siégeant : Madame Nathalie LANDRY, présidente; Monsieur Michael RUDERMANN, Madame Monique FLÜCKIGER, juges assesseurs; Madame Fabia CURTI,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