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ACJC/935/2021 vom 15. Juli 2021</w:t>
      </w:r>
    </w:p>
    <w:p>
      <w:r>
        <w:t>GE Cour de justice, 2021-07-15, FR</w:t>
      </w:r>
    </w:p>
    <w:p>
      <w:r>
        <w:rPr>
          <w:b/>
        </w:rPr>
        <w:t xml:space="preserve">Quelle: </w:t>
      </w:r>
      <w:r>
        <w:t>https://mcp.opencaselaw.ch/entscheid/ge_gerichte_ACJC_935_2021</w:t>
      </w:r>
    </w:p>
    <w:p>
      <w:r>
        <w:t>FR: GE_GERICHTE ACJC/935/2021 du 15 juillet 2021</w:t>
      </w:r>
    </w:p>
    <w:p>
      <w:r>
        <w:t>IT: GE_GERICHTE ACJC/935/2021 del 15 luglio 2021</w:t>
      </w:r>
    </w:p>
    <w:p>
      <w:pPr>
        <w:pStyle w:val="Heading2"/>
      </w:pPr>
      <w:r>
        <w:t>Regeste</w:t>
      </w:r>
    </w:p>
    <w:p>
      <w:r>
        <w:t>Résumé: PROCÉDURE D'EXPULSION - FRAIS - MENTIONS Les frais de la procédure d'expulsion peuvent être mis à la charge du locataire expulsé. En font notamment partie les frais de mentions sollicitées par le bailleur auprès du Tribunal, engendrés par le comportement du locataire qui ne collabore pas à l'échéance du contrat.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