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ACJC/934/2015 vom 20. August 2015</w:t>
      </w:r>
    </w:p>
    <w:p>
      <w:r>
        <w:t>GE Cour de justice, 2015-08-20, FR</w:t>
      </w:r>
    </w:p>
    <w:p>
      <w:r>
        <w:rPr>
          <w:b/>
        </w:rPr>
        <w:t xml:space="preserve">Quelle: </w:t>
      </w:r>
      <w:r>
        <w:t>https://mcp.opencaselaw.ch/entscheid/ge_gerichte_ACJC_934_2015</w:t>
      </w:r>
    </w:p>
    <w:p>
      <w:r>
        <w:t>FR: GE_GERICHTE ACJC/934/2015 du 20 août 2015</w:t>
      </w:r>
    </w:p>
    <w:p>
      <w:r>
        <w:t>IT: GE_GERICHTE ACJC/934/2015 del 20 agosto 2015</w:t>
      </w:r>
    </w:p>
    <w:p>
      <w:pPr>
        <w:pStyle w:val="Heading2"/>
      </w:pPr>
      <w:r>
        <w:t>Erwägungen</w:t>
      </w:r>
    </w:p>
    <w:p>
      <w:r>
        <w:rPr>
          <w:b/>
        </w:rPr>
        <w:t>E. 1.1</w:t>
      </w:r>
    </w:p>
    <w:p>
      <w:r>
        <w:t>L'article 99 CPC prévoit que le demandeur doit, sur requête du défendeur, fournir des sûretés en garantie du paiement des dépens notamment lorsqu'il n'a pas de domicile ou de siège en Suisse (let. a), il est débiteur de frais d'une procédure antérieure (let. c), d'autres raisons font apparaître un risque considérable que les dépens ne soient pas versés (let. d).</w:t>
      </w:r>
    </w:p>
    <w:p>
      <w:r>
        <w:t>L'institution des sûretés, connue avant l'entrée en vigueur du CPC sous la dénomination de cautio judicatum solvi, a pour but de donner au défendeur une assurance raisonnable que, s'il gagne son procès, il pourra effectivement recouvrer les dépens qui lui seront alloués à la charge de son adversaire: le procès implique en effet des dépenses, que le défendeur n'a pas choisi d'exposer et dont il est juste qu'il puisse se faire indemniser si la demande dirigée contre lui était infondée (TAPPY, Code de procédure civile commenté, 2011, n. 3 ad art. 99 CPC; SUTER/VON HOLZEN, in Kommentar zur Schweizerischen Zivilprozessordnung (ZPO), SUTTER-SOMM/HASENBÖHLER/LEUENBERGER (éd.), 2ème éd. 2013, n. 2 ad art. 99 CPC).</w:t>
      </w:r>
    </w:p>
    <w:p>
      <w:r>
        <w:t>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SPÜHLER/TENCIO/INFANGER (éd.), 2013, n° 5 ad art. 99 CPC; STERCHI, in Berner Kommentar ZPO, Kommentar zum schweizerischen Privatrecht, 2012, n° 10 ad art. 99 LPC).</w:t>
      </w:r>
    </w:p>
    <w:p>
      <w:r>
        <w:t>La condition de l'absence d'un domicile ou d'un siège en Suisse suffit en principe, quelle que puisse être par ailleurs la solvabilité apparente de la partie concernée ou sa nationalité (TAPPY, op. cit., n. 17 et 18 ad art. 99 CPC).</w:t>
      </w:r>
    </w:p>
    <w:p>
      <w:r>
        <w:rPr>
          <w:b/>
        </w:rPr>
        <w:t>E. 1.2</w:t>
      </w:r>
    </w:p>
    <w:p>
      <w:r>
        <w:t>En l'espèce, il n'est pas contesté que l'intimée a son siège à l'étranger ni qu'il n'existe pas de convention internationale entre la Suisse et Hong-Kong qui dispenserait l'appelante de fournir des sûretés. Dès lors le principe de la fourniture des sûretés est acquis. Reste à en déterminer le montant.</w:t>
      </w:r>
    </w:p>
    <w:p>
      <w:r>
        <w:t>- 4/6 -</w:t>
      </w:r>
    </w:p>
    <w:p>
      <w:r>
        <w:t>C/5500/2012</w:t>
      </w:r>
    </w:p>
    <w:p>
      <w:r>
        <w:rPr>
          <w:b/>
        </w:rPr>
        <w:t>E. 2.1</w:t>
      </w:r>
    </w:p>
    <w:p>
      <w:r>
        <w:t>Les sûretés doivent couvrir les dépens présumés de l'instance concernée que le demandeur, ou le recourant, aurait à verser au défendeur, ou à l'intimé, en cas de perte totale du procès; dans le cadre du recours, les sûretés ne sont destinées qu'à la couverture des dépens relatifs à la procédure de recours (arrêt du Tribunal fédéral 4A_26/2013 précité).</w:t>
      </w:r>
    </w:p>
    <w:p>
      <w:r>
        <w:t>Selon le règlement fixant le tarif des frais en matière civile du canton de Genève (RTFMC), le défraiement d'un représentant professionnel est, en règle générale, proportionnel à la valeur litigieuse. Il est fixé d'après l'importance de la cause, ses difficultés, l'ampleur du travail et le temps employé (art. 84 RTFMC). A teneur de l'art. 85 RTFMC, une valeur litigieuse comprise entre 600'000 fr. et 1'000'000 fr. donne lieu à des dépens de 25'400 fr. plus 1,5% de la valeur litigieuse dépassant 600'000 fr., auxquels sont ajoutés les débours (3%) et la TVA (8%; art. 25 et 26 LaCC). En appel, le défraiement est réduit dans la règle d'un à deux tiers par rapport au tarif de l'art. 85 (art. 90 RTFMC). Le juge peut, en outre, s'écarter de plus ou moins 10% de ce barème pour tenir compte des éléments rappelés à l'art. 84 RTFMC (art. 85 al. 1 RTFMC). La valeur du litige est déterminée par les conclusions. Les intérêts et les frais de la procédure ne sont pas pris en compte (art. 91 al. 1 CPC).</w:t>
      </w:r>
    </w:p>
    <w:p>
      <w:r>
        <w:t>L'art. 23 LaCC prévoit en outre que lorsqu'il y a une disproportion manifeste entre la valeur litigieuse et l'intérêt des parties au procès ou entre le taux applicable selon la loi et le travail effectif de l'avocat, le juge peut fixer un défraiement inférieur ou supérieur aux taux minimum et maximum prévus.</w:t>
      </w:r>
    </w:p>
    <w:p>
      <w:r>
        <w:rPr>
          <w:b/>
        </w:rPr>
        <w:t>E. 2.2</w:t>
      </w:r>
    </w:p>
    <w:p>
      <w:r>
        <w:t>En l'espèce, avec une valeur litigieuse de 874'378 fr., l'intimé pourrait prétendre à des dépens, calculés en application de l'art. 85 RFTMC, de 32'762 fr., débours et TVA compris. Le tiers de ce montant correspond à 10'920 fr., les deux tiers à 21'841 fr.</w:t>
      </w:r>
    </w:p>
    <w:p>
      <w:r>
        <w:t>Le montant des sûretés sera fixé à 22'000 fr., l'affaire présentant une certaine complexité, en particulier s'agissant des faits de la cause, ce qui impliquera un travail non négligeable pour la rédaction des écritures, l'appel comportant d'ailleurs 28 pages. Vu l'enjeu financier de la procédure, il est probable que les parties feront usage de leur droit de réplique/duplique.</w:t>
      </w:r>
    </w:p>
    <w:p>
      <w:r>
        <w:rPr>
          <w:b/>
        </w:rPr>
        <w:t>E. 2.3</w:t>
      </w:r>
    </w:p>
    <w:p>
      <w:r>
        <w:t>Les sûretés peuvent être fournies en espèces ou sous forme de garantie d'une banque établie en Suisse ou d'une société d'assurance autorisée à exercer en Suisse (art. 100 al. 1 CPC).</w:t>
      </w:r>
    </w:p>
    <w:p>
      <w:r>
        <w:t>Un délai de trente jours sera imparti à l'appelante pour fournir les sûretés demandées, à compter de la notification de la présente décision (art. 101 al. 1 CPC). Si les sûretés ne devaient pas être versées à l'échéance d'un délai supplémentaire, la Cour n'entrera pas en matière sur l'appel (art. 101 al. 1 et 3 CPC).</w:t>
      </w:r>
    </w:p>
    <w:p>
      <w:r>
        <w:t>- 5/6 -</w:t>
      </w:r>
    </w:p>
    <w:p>
      <w:r>
        <w:t>C/5500/2012</w:t>
      </w:r>
    </w:p>
    <w:p>
      <w:r>
        <w:rPr>
          <w:b/>
        </w:rPr>
        <w:t>E. 3</w:t>
      </w:r>
    </w:p>
    <w:p>
      <w:r>
        <w:t>Il sera statué sur les frais et dépens relatifs à la présente décision avec l'arrêt au fond (art. 104 al. 3 CPC).</w:t>
      </w:r>
    </w:p>
    <w:p>
      <w:r>
        <w:rPr>
          <w:b/>
        </w:rPr>
        <w:t>E. 4</w:t>
      </w:r>
    </w:p>
    <w:p>
      <w:r>
        <w:t>La présente décision, rendue dans le cadre d'une procédure dont la valeur litigieuse dépasse 30'000 fr., est susceptible d'un recours en matière civile au Tribunal fédéral, dans les limites de l'art. 93 LTF. * * * * *</w:t>
      </w:r>
    </w:p>
    <w:p>
      <w:r>
        <w:t>- 6/6 -</w:t>
      </w:r>
    </w:p>
    <w:p>
      <w:r>
        <w:t>C/5500/2012 PAR CES MOTIFS, La Chambre civile : A la forme : Déclare recevable la requête de sûretés formée le 29 juin 2015 par B______. Au fond : Condamne A______ à verser aux Services financiers du Pouvoir judiciaire, à titre de sûretés en garantie des dépens d'appel, la somme de 22'000 fr., en espèces ou sous forme de garantie bancaire ou d'une société d'assurance autorisée à exercer en Suisse, dans un délai de 30 jours à compter de la notification de la présente décision. Réserve la suite de la procédure. Dit qu'il sera statué sur les frais et dépens relatifs à la procédure de sûretés avec la décision sur le fond.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