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ACJC/933/2022 vom 8. Juli 2022</w:t>
      </w:r>
    </w:p>
    <w:p>
      <w:r>
        <w:t>GE Cour de justice, 2022-07-08, FR</w:t>
      </w:r>
    </w:p>
    <w:p>
      <w:r>
        <w:rPr>
          <w:b/>
        </w:rPr>
        <w:t xml:space="preserve">Quelle: </w:t>
      </w:r>
      <w:r>
        <w:t>https://mcp.opencaselaw.ch/entscheid/ge_gerichte_ACJC_933_2022</w:t>
      </w:r>
    </w:p>
    <w:p>
      <w:r>
        <w:t>FR: GE_GERICHTE ACJC/933/2022 du 8 juillet 2022</w:t>
      </w:r>
    </w:p>
    <w:p>
      <w:r>
        <w:t>IT: GE_GERICHTE ACJC/933/2022 del 8 luglio 2022</w:t>
      </w:r>
    </w:p>
    <w:p>
      <w:pPr>
        <w:pStyle w:val="Heading2"/>
      </w:pPr>
      <w:r>
        <w:t>Erwägungen</w:t>
      </w:r>
    </w:p>
    <w:p>
      <w:r>
        <w:rPr>
          <w:b/>
        </w:rPr>
        <w:t>E. 1.1</w:t>
      </w:r>
    </w:p>
    <w:p>
      <w:r>
        <w:t>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dans les dix jours dès réception de la décision litigieuse, et être motivé (art. 321 al. 1 CPC).</w:t>
      </w:r>
    </w:p>
    <w:p>
      <w:r>
        <w:t>- 7/10 -</w:t>
      </w:r>
    </w:p>
    <w:p>
      <w:r>
        <w:t>C/8141/2021</w:t>
      </w:r>
    </w:p>
    <w:p>
      <w:r>
        <w:rPr>
          <w:b/>
        </w:rPr>
        <w:t>E. 1.2</w:t>
      </w:r>
    </w:p>
    <w:p>
      <w:r>
        <w:t>Le Tribunal a retenu que le contrat d'emption et la lettre de l'intimé du 17 mai 2017 ne valaient pas reconnaissante de dette car ces documents ne permettaient pas de déterminer le prix de vente des actions du recourant, lequel était fixé en fonction du contrat de la vente principale dont aucune des parties n'avait fourni de copie. Le prix ne pouvait pas être calculé sur base d'un prix de vente principale de 85'000'000 fr. car ce montant était fixé sous réserves de différents ajustements. Il n'était pas possible de calculer le prix de vente sur la base d'une "règle de trois" comme le proposait le recourant. En tout état de cause, l'intimé soulevait différents moyens libératoires en lien avec les garanties de la vente principale et une violation par le recourant de ses obligations de non-concurrence. Les questions à trancher ressortaient du juge du fond et non du juge de la mainlevée.</w:t>
      </w:r>
    </w:p>
    <w:p>
      <w:r>
        <w:t>Le recourant fait valoir que la décision querellée n'est pas suffisamment motivée et doit être annulée pour ce motif. Il ne formule pour le surplus aucune critique motivée contre l'état de fait dressé par le Tribunal. Il ne critique pas non plus les considérants de celui-ci, selon lesquels il n'a produit aucun titre de mainlevée de l'opposition.</w:t>
      </w:r>
    </w:p>
    <w:p>
      <w:r>
        <w:rPr>
          <w:b/>
        </w:rPr>
        <w:t>E. 1.2.1</w:t>
      </w:r>
    </w:p>
    <w:p>
      <w:r>
        <w:t>Il incombe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rPr>
          <w:b/>
        </w:rPr>
        <w:t>E. 1.2.2</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w:t>
      </w:r>
    </w:p>
    <w:p>
      <w:r>
        <w:t>- 8/10 -</w:t>
      </w:r>
    </w:p>
    <w:p>
      <w:r>
        <w:t>C/8141/2021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t>Le droit d’être entendu n’implique aucune obligation d’étudier des questions qui ne sont pas pertinentes pour la décision (arrêt du Tribunal fédéral 4A_502/2019 du 15 juin 2020 consid. 4).</w:t>
      </w:r>
    </w:p>
    <w:p>
      <w:r>
        <w:rPr>
          <w:b/>
        </w:rPr>
        <w:t>E. 1.2.3</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w:t>
      </w:r>
    </w:p>
    <w:p>
      <w:r>
        <w:t>Le contrat de vente en la forme écrite vaut titre de mainlevée provisoire pour le montant du prix de vente, à condition que celui-ci soit déterminé ou déterminable sur la base du ou des titres produits (ABBET/VEUILLET, La mainlevée de l'opposition, 2017, n. 152 et 154, ad art. 82 LP).</w:t>
      </w:r>
    </w:p>
    <w:p>
      <w:r>
        <w:rPr>
          <w:b/>
        </w:rPr>
        <w:t>E. 1.3</w:t>
      </w:r>
    </w:p>
    <w:p>
      <w:r>
        <w:t>En l'espèce, contrairement à ce que soutient le recourant, le jugement querellé est suffisamment motivé et son droit d'être entendu n'a pas été violé.</w:t>
      </w:r>
    </w:p>
    <w:p>
      <w:r>
        <w:t>Le Tribunal a expliqué de manière claire et suffisamment détaillée qu'il retenait que les documents produits ne valaient pas reconnaissance de dette du prix des actions vendues par le recourant à l'intimée puisque le prix de vente desdites actions n'était ni déterminé ni déterminable.</w:t>
      </w:r>
    </w:p>
    <w:p>
      <w:r>
        <w:t>Il n'y a dès lors pas lieu d'annuler le jugement querellé pour défaut de motivation.</w:t>
      </w:r>
    </w:p>
    <w:p>
      <w:r>
        <w:t>Pour le reste, le recours est irrecevable pour défaut de motivation.</w:t>
      </w:r>
    </w:p>
    <w:p>
      <w:r>
        <w:t>En effet, le recourant se limite à formuler des assertions péremptoires concernant divers aspects du litige qui oppose les parties, s'étendant en particulier longuement sur le manque de vraisemblance des moyens libératoires soulevés par l'intimé, sans critiquer de manière motivée les considérants du Tribunal selon lesquels</w:t>
      </w:r>
    </w:p>
    <w:p>
      <w:r>
        <w:t>- 9/10 -</w:t>
      </w:r>
    </w:p>
    <w:p>
      <w:r>
        <w:t>C/8141/2021 aucune reconnaissance de dette justifiant le prononcé de la mainlevée de l'opposition ne figure au dossier.</w:t>
      </w:r>
    </w:p>
    <w:p>
      <w:r>
        <w:t>Cette manière de procéder ne respecte pas les exigences de motivation du recours telles que décrites ci-dessus.</w:t>
      </w:r>
    </w:p>
    <w:p>
      <w:r>
        <w:t>Le recours est ainsi irrecevable en tant qu'il a trait à d'autres griefs que celui relatif à la motivation du jugement querellé, lequel est infondé.</w:t>
      </w:r>
    </w:p>
    <w:p>
      <w:r>
        <w:rPr>
          <w:b/>
        </w:rPr>
        <w:t>E. 2</w:t>
      </w:r>
    </w:p>
    <w:p>
      <w:r>
        <w:t>Les frais judiciaires de recours, arrêtés 1'125 fr. et compensés avec l'avance versée par le recourant, acquise à l'Etat de Genève, seront laissés à charge de ce dernier qui succombe (art. 48 et 61 OELP; 106 et 111 CPC).</w:t>
      </w:r>
    </w:p>
    <w:p>
      <w:r>
        <w:t>Une indemnité de 1'500 fr., débours et TVA inclus, sera allouée à l'intimé à titre de dépens de recours (art. 85, 88, 89 et 90 RTFMC). * * * * *</w:t>
      </w:r>
    </w:p>
    <w:p>
      <w:r>
        <w:t>- 10/10 -</w:t>
      </w:r>
    </w:p>
    <w:p>
      <w:r>
        <w:t>C/8141/2021 PAR CES MOTIFS, La Chambre civile :</w:t>
      </w:r>
    </w:p>
    <w:p>
      <w:r>
        <w:t>A la forme : Déclare partiellement recevable le recours interjeté par A______ contre le jugement JTPI/4041/2022 rendu le 25 mars 2022 par le Tribunal de première instance dans la cause C/8141/2021-11 SML. Au fond : Rejette ce recours dans la mesure de sa recevabilité. Déboute les parties de toutes autres conclusions. Sur les frais : Met à la charge de A______ les frais judiciaires de recours, arrêtés à 1'125 fr. et compensés avec l'avance versée, acquise à l'Etat de Genève. Condamne A______ à verser à B______ 1'500 fr. à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