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ACJC/933/2018 vom 13. Juli 2018</w:t>
      </w:r>
    </w:p>
    <w:p>
      <w:r>
        <w:t>GE Cour de justice, 2018-07-13, FR</w:t>
      </w:r>
    </w:p>
    <w:p>
      <w:r>
        <w:rPr>
          <w:b/>
        </w:rPr>
        <w:t xml:space="preserve">Quelle: </w:t>
      </w:r>
      <w:r>
        <w:t>https://mcp.opencaselaw.ch/entscheid/ge_gerichte_ACJC_933_2018</w:t>
      </w:r>
    </w:p>
    <w:p>
      <w:r>
        <w:t>FR: GE_GERICHTE ACJC/933/2018 du 13 juillet 2018</w:t>
      </w:r>
    </w:p>
    <w:p>
      <w:r>
        <w:t>IT: GE_GERICHTE ACJC/933/2018 del 13 luglio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La valeur litigieuse correspond au loyer dû pour la période durant laquelle le contrat subsiste nécessairement, en supposant que l’on admette la contestation, et qui s’étend jusqu’au moment pour lequel un nouveau congé aurait pu être donné ou l’a été effectivement (ATF 136 III 196 consid. 1.1). En pareil cas, la valeur litigieuse équivaut au loyer de la période minimale pendant laquelle le contrat subsiste si la résiliation n'est pas valable, période qui s'étend jusqu'à la date pour laquelle un nouveau congé peut être donné (cf. ATF 136 III 196 consid. 1.1; 111 II 384 consid. 1; 119 II 147 consid. 1).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136 III 196). En l’occurrence, le bail a été conclu pour une durée initiale d'une année, du 1er octobre 2013 au 30 septembre 2014, renouvelable ensuite tacitement d'année en année. Le loyer mensuel a été fixé par le contrat à 3'500 fr. et les charges à 160 fr. Le téléréseau a été fixé en dernier lieu à 30 fr. par mois, dès le 1er janvier 2015.</w:t>
      </w:r>
    </w:p>
    <w:p>
      <w:r>
        <w:t>- 8/12 -</w:t>
      </w:r>
    </w:p>
    <w:p>
      <w:r>
        <w:t>C/18036/2016 La valeur litigieuse minimale de 10'000 fr. est par conséquent à l’évidence dépassée.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En l’occurrence, l’appel a été interjeté dans le délai et suivant la forme prescrits par la loi (art. 130, 131, 145 al. 1 let. a, 311 al. 1 CPC) et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 demande a été introduite par les locataires contre le(s) détenteur(s) inconnu(s) des "CERTIFICATS D'ACTIONS 4______".</w:t>
      </w:r>
    </w:p>
    <w:p>
      <w:r>
        <w:rPr>
          <w:b/>
        </w:rPr>
        <w:t>E. 2.1</w:t>
      </w:r>
    </w:p>
    <w:p>
      <w:r>
        <w:t>La demande doit contenir la désignation des parties soit les noms et adresses des parties (art. 221 al. 1 let. a CPC; TAPPY, in CPC, Code de procédure civile commenté, BOHNET/HALDY/JEANDIN/SCHWEIZER/TAPPY, [éd.], 2011, n. 7 ad art. 221 CPC). Cette règle tend à déterminer l'identité des parties, pour permettre à celui qui reçoit l'acte d'être fixé d'emblée sur la personne de sa partie adverse, la loyauté des débats exigeant que chaque partie connaisse exactement son adversaire (ATF 131 I 57 consid. 2.2.). Les conditions de recevabilité de l'instance doivent s'examiner d'office à chaque stade du procès (art. 60 CPC; ATF 133 III 539 consid. 4.2; 130 III 430 consid. 3.1) (ACJC/1444/2015 du 23 novembre 2015 consid. 3.1). La capacité d'être partie consiste dans la faculté de participer à un procès en qualité de partie; elle constitue une condition de recevabilité de la demande et son défaut équivaut à une fin de non-recevoir (ATF 128 III 50 consid. 2b/bb; ACJC/1457/2016 du 4 novembre 2016 consid. 1.3). La capacité d'être partie est en principe subordonnée à la jouissance des droits civils (art. 66 CPC).</w:t>
      </w:r>
    </w:p>
    <w:p>
      <w:r>
        <w:t>- 9/12 -</w:t>
      </w:r>
    </w:p>
    <w:p>
      <w:r>
        <w:t>C/18036/2016 Une demande déposée par - ou contre - une partie inexistante doit être déclarée irrecevable, faute d'instance valable (BOHNET, in CPC, Code de procédure civile commenté, BOHNET/HALDY/JEANDIN/SCHWEIZER/TAPPY [éd.], 2011, n. 71 ad art. 59 CPC).</w:t>
      </w:r>
    </w:p>
    <w:p>
      <w:r>
        <w:rPr>
          <w:b/>
        </w:rPr>
        <w:t>E. 2.2</w:t>
      </w:r>
    </w:p>
    <w:p>
      <w:r>
        <w:t>En l’occurrence la désignation "LE DÉTENTEUR/LES DÉTENTEURS INCONNU(S) DES CERTIFICATS D’ACTIONS 4______" ne permet pas d’identifier une personne, physique ou morale. Il ne peut donc pas s’agir d’une partie, de sorte qu'en tant qu'elle est dirigée contre cet ou ces inconnus, la demande est irrecevable.</w:t>
      </w:r>
    </w:p>
    <w:p>
      <w:r>
        <w:rPr>
          <w:b/>
        </w:rPr>
        <w:t>E. 3</w:t>
      </w:r>
    </w:p>
    <w:p>
      <w:r>
        <w:t>Les appelants font grief aux premiers juges d’avoir considéré que C______ était leur bailleresse.</w:t>
      </w:r>
    </w:p>
    <w:p>
      <w:r>
        <w:rPr>
          <w:b/>
        </w:rPr>
        <w:t>E. 3.1</w:t>
      </w:r>
    </w:p>
    <w:p>
      <w:r>
        <w:t>Le congé qui ne satisfait pas aux conditions de forme prévues aux art. 266l à 266n est nul (art. 266o CO). En particulier, pour être valable, la résiliation doit être adressée par l’une des parties au bail à l’autre (LACHAT, Le bail à loyer, Lausanne 2008, p. 626). En d’autres termes, le congé signifié par une personne qui n’est pas bailleur est nul (LACHAT, op. cit., p. 727). Dans le contexte de la résiliation du bail, qui doit être notifiée sur formule officielle, la désignation de la personne du bailleur figurant sur l'avis de résiliation doit être interprétée strictement (conformément au principe de la confiance), toute extrapolation devant être évitée (arrêts du Tribunal fédéral 4A_622/2016 du</w:t>
      </w:r>
    </w:p>
    <w:p>
      <w:r>
        <w:rPr>
          <w:b/>
        </w:rPr>
        <w:t>E. 3.2</w:t>
      </w:r>
    </w:p>
    <w:p>
      <w:r>
        <w:t>La E______ a été créée, en 1904, afin de réaliser la propriété par étages ou par appartements, à une époque où celle-ci n'était pas juridiquement réalisable en Suisse (FLATTET, Les sociétés immobilières d'actionnaires-locataires, in JdT 1949</w:t>
      </w:r>
    </w:p>
    <w:p>
      <w:r>
        <w:t>- 10/12 -</w:t>
      </w:r>
    </w:p>
    <w:p>
      <w:r>
        <w:t>C/18036/2016 I 610 ss; FORSTMOSER MEIER-HAYOZ, Einführung in das schweizerische Aktienrecht, n. 45 p. 314; ATF 102 Ib 166 consid. 2a). A l’instar de ce que prévoient les statuts de la société précitée, lorsque les actionnaires-locataires ont le droit de louer les locaux (appartements, magasins, ou garages) correspondant aux actions qu'ils ont acquises, ils concluent à cet effet un contrat de bail avec la société, pour une durée indéterminée (ATF 102 Ib 166 consid. 2a).</w:t>
      </w:r>
    </w:p>
    <w:p>
      <w:r>
        <w:rPr>
          <w:b/>
        </w:rPr>
        <w:t>E. 3.3</w:t>
      </w:r>
    </w:p>
    <w:p>
      <w:r>
        <w:t>En l’occurrence, le contrat de bail à loyer du 20 septembre 2013 a été conclu entre le bailleur non identifié (la mention "CERTIFICATS D'ACTIONS 4______" étant impropre à elle seule à caractériser une personne juridique), représenté par la régie et B______. L’avis de modification du bail du 18 novembre 2014 a également été signé par la régie représentant "CERTIFICATS D'ACTIONS 4______", sans davantage de précisions sur une personne physique. Suite à une demande du conseil de B______, invitant la régie à lui communiquer l’identité et le domicile exacts du bailleur, désigné par l’expression "CERTIFICATS D’ACTIONS 4______", la régie a indiqué que les certificats d’actions 4______ composaient la E______ SA. Entendue par le Tribunal, C______ a remis une copie du certificat d'actions n° 3______ de la E______ établi à son nom, ainsi qu’une copie du registre des actionnaires-locataires de la E______. Elle a indiqué que le lien pouvait être fait entre le certificat d'actions n° 3______ portant le nom de C______ et l’appartement des locataires grâce au registre des actionnaires-locataires, lequel mentionnait que l’appartement de quatre pièces n°2______ au 6ème étage correspondait bien au certificat d'actions n° 3______, sur lequel figurait son nom. H______, employée auprès de la Régie, a indiqué que le certificat d'actions n° 3______ apparaissait comme actionnaire-locataire sur le registre et qu’il nommait bien C______ comme détentrice de ces actions. H______ a affirmé qu’elle ne pouvait en revanche pas expliquer pourquoi figurent dans le bail les numéros 4______. Le conseil de B______ a expliqué que le certificat d'actions n° 3______ ne correspondait pas à celui indiqué sur le contrat de bail. Il ressort des pièces remises par C______ ainsi que de ses déclarations, que celle- ci est bien la titulaire du certificat d'actions n° 3______, d’une part, et que ce certificat d'actions n° 3______ porte sur l’appartement litigieux, soit un appartement de 4 pièces au 6ème étage de l’immeuble sis ______, d’autre part. Ces éléments ne permettent toutefois pas de retenir que C______ est la bailleresse des appelants. La convention liant tout actionnaire à sa E______ et précisant notamment l’objet et les modalités de location des locaux dont il obtient la jouissance exclusive n’a en effet pas été produite. Or, seule cette convention</w:t>
      </w:r>
    </w:p>
    <w:p>
      <w:r>
        <w:t>- 11/12 -</w:t>
      </w:r>
    </w:p>
    <w:p>
      <w:r>
        <w:t>C/18036/2016 permettrait d’établir si, et le cas échéant selon quelles modalités, l’actionnaire locataire a fait usage du droit que la titularité du certificat d'actions lui procure. S’il est théoriquement possible que C______ et la E______ SA soient liées par un contrat de bail, portant sur les locaux litigieux, rien ne l’établit toutefois. D’autres hypothèses sont aussi possibles, à savoir notamment que la titulaire du certificat d'actions ait instruit la E______ SA de conclure un bail directement avec des locataires. Dans la mesure où C______ est l’actionnaire majoritaire de la SI, cette hypothèse ne peut être exclue. Il est également possible que la titulaire du certificat d'actions ait instruit la E______ SA de conclure un bail avec une autre personne morale, qui serait alors locataire du propriétaire de l’immeuble et (sous- )bailleresse des appelants. Les statuts de la E______ SA subordonnent en outre la sous-location des locaux à l’accord du conseil d’administration de la société. On ignore ce qu’il en est l’occurrence d’un tel accord, qui ne peut être présumé. La cause doit donc être instruite sur ces éléments, de sorte qu’elle sera renvoyée à cette fin au Tribunal (art. 318 al. 1 let. c ch. 2 CPC), pour instruction complémentaire et nouvelle décision. 4. Les appelants occupent des locaux dont ils ne règlent plus le loyer depuis mai 2016. Pour autant, leur appel ne peut être considéré comme téméraire, dès lors qu’ils contestent à juste titre le fait, juridiquement pertinent, que la personne au nom de laquelle le congé a été notifié soit leur bailleur. En outre, les mentions figurant sur les avis comminatoires divergent de celles que comportent les avis de résiliation, de sorte que la question de la validité du congé doit être vérifiée.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C/18036/2016 PAR CES MOTIFS, La Chambre des baux et loyers : A la forme : Déclare recevable l’appel interjeté le 15 décembre 2017 par A______ et B______, contre le jugement JTBL/1040/2017 rendu 15 novembre 2017 par le Tribunal des baux et loyers dans la cause C/18036/2016. Déclare irrecevable la demande de contestation de congé en tant qu'elle est dirigée contre LE DETENTEUR/LES DETENTEURS INCONNUS DES "CERTIFICATS D'ACTIONS 4______". Au fond : Annule les chiffres 2, 4, 5, et 6 du jugement JTBL/1040/2017 rendu le 15 novembre 2017 par le Tribunal dans la cause C/18036/2016. Renvoie la cause au Tribunal pour instruction complémentaire et nouvelle décision. Dit que la procédure est gratuite.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décembre 2016 consid. 3.1; 4A_196/2016 du 24 octobre 2016 consid. 3.3.1). Les effets du contrat ne valent normalement qu’à l’égard des parties, non envers les tiers, conformément au principe de la relativité des conventions exprimé par l’adage res inter alios acta aliis nec nocet nec prodest (ATF 136 III 14 consid. 2.3). Le principe de la relativité des conventions découle de la liberté de conclure, selon laquelle chacun a le droit de choisir son cocontractant. Par conséquent, on ne saurait imposer à une partie des engagements envers un tiers avec lequel elle n’a pas contracté. Inversement, on ne saurait opposer à ce tiers les effets d’un contrat qu’il n’a pas conclu (ATF 80 II 26 consid. 5a, JdT 1955 I 136). Opposable à quiconque, la nullité doit être constatée par toute autorité compétente pour examiner les effets du congé, même d’office et ceci en tout temps (BOHNET/CARRON/MONTINI, Droit du bail à loyer et à ferme, 2017 n 6 ad. art. 266o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