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ACJC/929/2022 vom 7. Juli 2022</w:t>
      </w:r>
    </w:p>
    <w:p>
      <w:r>
        <w:t>GE Cour de justice, 2022-07-07, FR</w:t>
      </w:r>
    </w:p>
    <w:p>
      <w:r>
        <w:rPr>
          <w:b/>
        </w:rPr>
        <w:t xml:space="preserve">Quelle: </w:t>
      </w:r>
      <w:r>
        <w:t>https://mcp.opencaselaw.ch/entscheid/ge_gerichte_ACJC_929_2022</w:t>
      </w:r>
    </w:p>
    <w:p>
      <w:r>
        <w:t>FR: GE_GERICHTE ACJC/929/2022 du 7 juillet 2022</w:t>
      </w:r>
    </w:p>
    <w:p>
      <w:r>
        <w:t>IT: GE_GERICHTE ACJC/929/2022 del 7 luglio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ou l'a effectivement été;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w:t>
      </w:r>
    </w:p>
    <w:p>
      <w:r>
        <w:rPr>
          <w:b/>
        </w:rPr>
        <w:t>E. 1.2</w:t>
      </w:r>
    </w:p>
    <w:p>
      <w:r>
        <w:t>En l'espèce, vu le loyer annuel s'élevant à 15'420 fr. depuis le 1er juillet 2013, la valeur litigieuse est largement supérieure à 10'000 fr., de sorte que la voie de l'appel est ouverte.</w:t>
      </w:r>
    </w:p>
    <w:p>
      <w:r>
        <w:rPr>
          <w:b/>
        </w:rPr>
        <w:t>E. 1.3</w:t>
      </w:r>
    </w:p>
    <w:p>
      <w:r>
        <w:t>Interjeté dans le délai prescrit et selon la forme requise par la loi, l'appel est recevable (art. 130, 131, 145 al. 1 let. b,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Les appelants allèguent nouvellement que l'intimé ne saurait être en mesure de subvenir à ses propres besoins et à ceux de sa femme, s'il ne sous-louait pas le logement litigieux, et reprochent ainsi au Tribunal de ne pas avoir pris en considération le montant des revenus totaux du couple, soit 5'300 fr. bruts par mois, ce qui l'aurait amené à constater que les explications de l'intimé étaient erronées.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appelants n'ont rien allégué à ce sujet durant toute la procédure de première instance. Ils émettent des considérations à propos des revenus de l'intimé pour la première fois au stade de la procédure d'appel. Or, ils ont été</w:t>
      </w:r>
    </w:p>
    <w:p>
      <w:r>
        <w:t>- 9/16 -</w:t>
      </w:r>
    </w:p>
    <w:p>
      <w:r>
        <w:t>C/17565/2019 représentés par un mandataire professionnellement qualifié durant toute la procédure de première instance. De plus, ils avaient la possibilité d'exposer des faits, de fournir des moyens de preuve jusqu'à la clôture des débats, ce qu'ils n'ont pas fait. Dès lors, les éléments relatifs à la situation économique de l'intimé sont irrecevables et il n'en sera pas tenu compte.</w:t>
      </w:r>
    </w:p>
    <w:p>
      <w:r>
        <w:rPr>
          <w:b/>
        </w:rPr>
        <w:t>E. 3</w:t>
      </w:r>
    </w:p>
    <w:p>
      <w:r>
        <w:t>Dans un premier grief, les appelants se plaignent d'une constatation inexacte des faits. Ils considèrent que le Tribunal aurait ignoré certains faits pertinents qui auraient pourtant été dûment établis par pièces. Ils se plaignent également de ce que le Tribunal a renoncé à l'audition du témoin E______.</w:t>
      </w:r>
    </w:p>
    <w:p>
      <w:r>
        <w:rPr>
          <w:b/>
        </w:rPr>
        <w:t>E. 3.1.1</w:t>
      </w:r>
    </w:p>
    <w:p>
      <w:r>
        <w:t>Selon l'art. 152 al. 1 CPC, toute partie a droit à ce que le tribunal administre les moyens de preuve adéquats proposés régulièrement et en temps utile. Conséquence essentielle du droit d'être entendu (art. 53 CPC), le droit à la preuve, consiste à pouvoir démontrer la véracité des faits pertinents qui ont été allégués, par l'administration des moyens adéquats de preuve, requis en temps utile et en la forme prescrite (ATF 122 III 219 et les références citées). La preuve a pour objet les faits pertinents et contestés (art. 150 al. 1 CPC). Toute partie a droit à ce que le tribunal administre les moyens de preuve adéquats proposés régulièrement et en temps utile (art. 152 al. 1 CPC).</w:t>
      </w:r>
    </w:p>
    <w:p>
      <w:r>
        <w:rPr>
          <w:b/>
        </w:rPr>
        <w:t>E. 3.1.2</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Lorsqu'une prétention relève du droit fédéral, le droit à la preuve est régi de manière spéciale par l'art. 8 CC, et non par l'art. 29 al. 2 Cst. (arrêts du Tribunal fédéral 4A_629/2010 du 2 février 2011 consid. 2.2; 5A_726/2009 du 30 avril 2010 consid. 3.1 et la référence citée).</w:t>
      </w:r>
    </w:p>
    <w:p>
      <w:r>
        <w:rPr>
          <w:b/>
        </w:rPr>
        <w:t>E. 3.1.3</w:t>
      </w:r>
    </w:p>
    <w:p>
      <w:r>
        <w:t>A teneur de l'art. 8 CC, chaque partie doit, si la loi ne prescrit le contraire, prouver les faits qu'elle allègue pour en déduire son droit. L'art. 8 CC consacre un droit des parties, dans les matières réglées par le droit civil fédéral, à l'administration des preuves sur les faits pertinents (ATF 133 III 295 consid. 7.1).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w:t>
      </w:r>
    </w:p>
    <w:p>
      <w:r>
        <w:t>- 10/16 -</w:t>
      </w:r>
    </w:p>
    <w:p>
      <w:r>
        <w:t>C/17565/2019 probatoire lorsqu'il est parvenu à se forger une conviction exempte d'arbitraire sur la base des preuves déjà recueillies et qu'il conclut sans arbitraire que la mesure requise ne conduirait pas à modifier sa conviction (arrêt du Tribunal fédéral 4A_390/2012 du 13 novembre 2012 consid. 2.2 et les arrêts cités). L'art. 8 CC n'est pas violé lorsque le juge refuse une mesure probatoire à la suite d'une appréciation anticipée des preuves ou pour le motif qu'il s'agirait de prouver un fait déjà établi ou un fait sans pertinence (ATF 129 III 18 consid. 2.6 et les arrêts cités).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3.2</w:t>
      </w:r>
    </w:p>
    <w:p>
      <w:r>
        <w:t>En l'espèce, les faits que les appelants reprochent au Tribunal de n'avoir pas tenu pour établis ne sont pas pertinents, indépendamment de la question de savoir s'ils ont été valablement allégués. Soit ils concernent une période bien antérieure à la résiliation, soit ils ne sont d'aucune utilité pour résoudre le question de la validité du congé (cf. consid. suivant). Même à les admettre, la solution retenue ci-après ne serait pas différente. Par ordonnance du 4 mai 2021, le Tribunal a décidé de renoncer à l'audition de E______.</w:t>
      </w:r>
    </w:p>
    <w:p>
      <w:r>
        <w:t>- 11/16 -</w:t>
      </w:r>
    </w:p>
    <w:p>
      <w:r>
        <w:t>C/17565/2019 Cette renonciation fait suite à plusieurs tentatives infructueuses du Tribunal de convoquer E______ en qualité de témoin. En effet, suite à sa première convocation pour l'audience du 10 décembre 2020, celle-ci a transmis par courrier du 30 novembre 2020 un certificat médical attestant de son incapacité à se rendre à l'audience. Puis, par courrier du 2 février 2021, les appelants eux-mêmes ont informé le Tribunal que cette dernière se trouvait toujours en arrêt de travail jusqu'au 28 février 2021. Ainsi, en date du 21 avril 2021, l'autorité précédente a notifié à E______ une citation à comparaître pour l'audience du 17 juin 2021. Celle-ci a alors répondu par courrier du 26 avril 2021 qu'elle ne pourrait se rendre à l'audience précitée, se trouvant toujours en incapacité de travail et ne travaillant plus au sein de [la régie] C______. C'est alors que l'autorité précédente a renoncé à son audition. Le Tribunal n'a donc pas dénié d'emblée toute force probante au moyen de preuve considéré. De plus, bien que les appelants prétendent que E______ serait un témoin essentiel dans le cadre de la présente procédure, ils n'ont pas persisté à solliciter son audition, et ce, ni suite à la notification de l'ordonnance du Tribunal du 4 mai 2021, ni lors de l'audience de débats du 17 juin 2021 à l'issue de laquelle le Tribunal a clôturé la phase d'administration des preuves et les parties ont plaidé leur cause, ni encore par leur courrier adressé ultérieurement au Tribunal le 18 juin 2021. Par ailleurs, les appelants indiquent que l'audition de E______ serait nécessaire car « c'est elle qui a notamment découvert que Monsieur D______ loue et louait plusieurs appartements, qu'il était un habitué des sous-locations et qu'il avait déjà eu plusieurs problèmes de résiliation de bail pour sous-locations illicites auprès d'autres propriétaires et d'autres régies de la place » (cf. acte d'appel, p. 6). Les appelants perdent ainsi de vue que le congé litigieux est fondé sur l'art. 257f al. 3 CO et que le but de la présente procédure n'est pas de déterminer si, par le passé, ou pour un autre logement, l'intimé aurait procédé à des sous-locations illicites. En effet, le point litigieux de la présente cause concerne exclusivement la question du respect des conditions d'application de l'art. 257f al. 3 CO. En outre, les appelants indiquent que le rapport de G______ « confirme les faits déjà constatés antérieurement, et même avant la résiliation de bail, par Madame E______ » (cf. p. 8 de l'acte d'appel). Ainsi, les éléments que l'audition de celle-ci auraient pu apporter ressortent déjà du rapport précité, sans préjudice de leur pertinence.</w:t>
      </w:r>
    </w:p>
    <w:p>
      <w:r>
        <w:t>- 12/16 -</w:t>
      </w:r>
    </w:p>
    <w:p>
      <w:r>
        <w:t>C/17565/2019 Dès lors, l'audition de E______ n'aurait nullement apporté d'éléments nouveaux et pertinents sur lesquels le Tribunal aurait pu fonder son raisonnement. Par conséquent, la renonciation à l'audition de la précitée ne viole nullement le droit à la preuve et le droit d'être entendus des appelants. 4. Les appelants reprochent au Tribunal d'avoir déclaré inefficace le congé litigieux, alors que les conditions de l'art. 257f al. 3 CO seraient remplies. La sommation du 15 mars 2019 serait valable car suffisamment précise, et le Tribunal aurait à tort retenu qu'ils n'avaient démontré que l'intimé aurait sous-loué son logement et qu'ils auraient subi un inconvénient majeur. 4.1 4.1.1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En vertu de l'art. 257f al. 1 et 2 CO, le locataire est tenu d'user de la chose avec le soin nécessaire et, s'il s'agit d'un immeuble, d'avoir pour les habitants et les voisins les égards qui leur sont dus. Ainsi, en cas de violation persistante des devoirs énoncés ci-dessus, l'art. 257f al. 3 CO confère au bailleur un droit de résiliation anticipée (WESSNER, in : Droit du bail à loyer et à ferme, Commentaire pratique, 2e éd., Bâle 2017, n. 3 ad art. 257f CO). L'art. 257f al. 3 CO suppose la réalisation des conditions cumulatives suivantes : violation de diligence incombant au locataire, un avertissement écrit du bailleur, la persistance du locataire à ne pas respecter son devoir en relation avec les manquements évoqués par le bailleur dans sa protestation, le caractère insupportable du maintien du contrat pour le bailleur et, enfin, le respect d'un préavis de 30 jours pour la fin d'un mois (arrêt du Tribunal fédéral 4C_306/2003 du 20 février 2004 et 4A_87/2012 du 10 avril 2012). 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w:t>
      </w:r>
    </w:p>
    <w:p>
      <w:r>
        <w:t>- 13/16 -</w:t>
      </w:r>
    </w:p>
    <w:p>
      <w:r>
        <w:t>C/17565/2019 locataire (ACJC/1282/2013 du 4 novembre 2013 consid. 4.2 et autres arrêts cités). Seules des circonstances exceptionnelles justifient de priver le locataire d'une telle possibilité (arrêts du Tribunal fédéral 4A_162/2014 du 26 août 2014 consid. 2.2 et 4A_456/2010 du 18 avril 2011 consid. 3.2). Ainsi, le congé doit correspondre à un fait pour lequel un avertissement initial a déjà été donné et ne peut pas survenir longtemps après ce dernier (arrêt du Tribunal fédéral 4C_270/2001 du 26 novembre 2001 et ACJC/1141/2003 du</w:t>
      </w:r>
    </w:p>
    <w:p>
      <w:r>
        <w:rPr>
          <w:b/>
        </w:rPr>
        <w:t>E. 6</w:t>
      </w:r>
    </w:p>
    <w:p>
      <w:r>
        <w:t>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4A_607/2015 du 4 juillet 2016 consid. 3.2.2.2; 4A_165/2009 du 15 juin 2009 consid. 5).</w:t>
      </w:r>
    </w:p>
    <w:p>
      <w:r>
        <w:rPr>
          <w:b/>
        </w:rPr>
        <w:t>E. 10</w:t>
      </w:r>
    </w:p>
    <w:p>
      <w:r>
        <w:t>novembre 2016 consid. 3.1.1).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134 III 446 consid. 2.2). 4.1.5 Le locataire peut sous-louer tout ou partie de la chose avec le consentement du bailleur (art. 262 al. 1 CO). Le locataire qui sous-loue totalement ou partiellement le logement remis à bail sans requérir le consentement du bailleur viole son devoir de diligence et s'expose à une résiliation anticipée du contrat au sens de l'art. 257f al. 3 CO lorsque le bailleur aurait disposé d'un motif valable au sens de l'art. 262 al. 2 CO pour s'opposer à la sous-location (ATF 134 III 300 consid. 3.1).</w:t>
      </w:r>
    </w:p>
    <w:p>
      <w:r>
        <w:t>- 14/16 -</w:t>
      </w:r>
    </w:p>
    <w:p>
      <w:r>
        <w:t>C/17565/2019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(ATF 134 III 446 consid. 2.4).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 loué à un tiers pour partie seulement.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 être un jour soi-même l'objet loué ne suffit pas à justifier une sous-location (ATF 138 III 59 consid. 2.2.1; arrêt du Tribunal fédéral 4A_227/2017 du 5 septembre 2017 consid. 4.2.1.1 et 4A_556/2015 du 3 mai 2016 consid. 3.2). 4.2 4.2.1 En l'espèce, l'autorité précédente ne s'est pas penchée sur la question de la validité formelle de la protestation écrite du 15 mars 2019 car elle a directement examiné les autres conditions d'application de l'art. 257f al. 3 CO, mais elle a tout de même relevé que l'on pouvait douter qu'elle constituait une sommation valable vu sa formulation peu précise (consid. 5d du jugement querellé). En effet, il ressort du courrier du 15 mars 2019 que la sous-location du logement litigieux n'était pas acceptée par les appelants, que le motif invoqué par l'intimé n'était pas valable, que ce dernier refusait de leur fournir les documents obligatoires à l'examen de ladite demande malgré les courriers du 23 janvier 2019 et 28 février 2019, et qu'ils se réservaient le droit de procéder à des contrôles réguliers de l'occupation du logement. Les appelants ont ensuite indiqué qu'à défaut de respecter la décision précitée, ils seraient en mesure de résilier le contrat de bail avec un délai de congé minimum de 30 jours pour la fin d'un mois. Ainsi, cette sommation ne peut être considérée comme une protestation écrite ayant pour objet de faire cesser une violation en cours et d'en empêcher une nouvelle; elle n'indique pas précisément l'obligation violée par l'intimé - il est fait</w:t>
      </w:r>
    </w:p>
    <w:p>
      <w:r>
        <w:t>- 15/16 -</w:t>
      </w:r>
    </w:p>
    <w:p>
      <w:r>
        <w:t>C/17565/2019 mention de diverses questions - et ne mentionne pas les mesures qu'il conviendrait de prendre pour corriger le tir. 4.2.2 Quant à la condition de la violation du devoir de diligence incombant à l'intimé, il ne ressort nullement de la procédure que celui-ci aurait sous-loué le logement litigieux sans l'autorisation préalable des appelants. En effet, l'intimé a au contraire indiqué qu'il attendrait la réponse des appelants avant de procéder à une sous-location, ainsi que cela ressort des courriers des 8 janvier 2019 et 9 mars 2019 de l'intimé. Les appelants n'ont au demeurant pas démontré l'existence d'une sous-location, alors que le fardeau de la preuve leur incombait. Comme relevé par le Tribunal, il ressort des témoignages des voisines de l'intimé que, bien que ne connaissant pas ce dernier - étant rarement chez elles et ne rencontrant pas souvent leurs voisins - elles n'ont nullement aperçu des tiers entrer ou sortir du logement litigieux. Le rapport de G______ établi en date du 25 septembre 2019, est postérieur au congé litigieux. Ainsi, lors de la notification du congé, soit en date du 1er juillet 2019, les appelants ne possédaient pas les informations contenues dans ce rapport. De plus, lors de son audition en date du 10 décembre 2020, l'enquêteur de G______, soit H______, n'a nullement relevé avoir observé lui-même de tierces personnes entrant ou sortant du logement litigieux. Il a notamment expliqué qu'il s'était rendu sur place une vingtaine de fois à des heures différentes, mais toujours en journée. Or, il ne ressort nullement du contrat de bail de l'intimé que celui-ci devrait obligatoirement se trouver à son domicile durant la journée. Contrairement à ce que relèvent les appelants, le Tribunal a, à juste titre, considéré qu'il n'était pas ressorti de l'instruction de la présente cause l'existence d'une sous- location. Les premiers juges ont à bon droit retenu que les appelants avaient échoué à prouver qu'ils étaient en droit de résilier le bail de manière anticipée sur la base de l'art. 257f al. 3 CO. Le congé a été déclaré inefficace à juste titre par l'autorité précédente. Le jugement entrepris sera par conséquent confirmé. 5. En application de l'art. 22 al. 1 LaCC, il ne sera pas perçu de frais judiciaires et il ne sera pas alloué de dépens. * * * * *</w:t>
      </w:r>
    </w:p>
    <w:p>
      <w:r>
        <w:t>- 16/16 -</w:t>
      </w:r>
    </w:p>
    <w:p>
      <w:r>
        <w:t>C/17565/2019</w:t>
      </w:r>
    </w:p>
    <w:p>
      <w:r>
        <w:t>PAR CES MOTIFS, La Chambre des baux et loyers :</w:t>
      </w:r>
    </w:p>
    <w:p>
      <w:r>
        <w:t>A la forme : Déclare recevable l'appel interjeté le 14 septembre 2021 par A______ et B______ contre le jugement JTBL/657/2021 du 15 juillet 2021 par le Tribunal des baux et loyers dans la cause C/17565/2019-5-OSB. Au fond : Confirme ce jugement. Dit que la procédure est gratuite. Déboute les parties de toutes autres conclusions. Siégeant : Monsieur Ivo BUETTI, président; Madame Pauline ERARD et Madame Fabienne GEISINGER-MARIETHOZ, juges; Monsieur Jean-Philippe ANTHONIOZ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