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ACJC/920/2022 vom 6. Juli 2022</w:t>
      </w:r>
    </w:p>
    <w:p>
      <w:r>
        <w:t>GE Cour de justice, 2022-07-06, FR</w:t>
      </w:r>
    </w:p>
    <w:p>
      <w:r>
        <w:rPr>
          <w:b/>
        </w:rPr>
        <w:t xml:space="preserve">Quelle: </w:t>
      </w:r>
      <w:r>
        <w:t>https://mcp.opencaselaw.ch/entscheid/ge_gerichte_ACJC_920_2022</w:t>
      </w:r>
    </w:p>
    <w:p>
      <w:r>
        <w:t>FR: GE_GERICHTE ACJC/920/2022 du 6 juillet 2022</w:t>
      </w:r>
    </w:p>
    <w:p>
      <w:r>
        <w:t>IT: GE_GERICHTE ACJC/920/2022 del 6 luglio 2022</w:t>
      </w:r>
    </w:p>
    <w:p>
      <w:pPr>
        <w:pStyle w:val="Heading2"/>
      </w:pPr>
      <w:r>
        <w:t>Erwägungen</w:t>
      </w:r>
    </w:p>
    <w:p>
      <w:r>
        <w:rPr>
          <w:b/>
        </w:rPr>
        <w:t>E. 1.1</w:t>
      </w:r>
    </w:p>
    <w:p>
      <w:r>
        <w:t>Interjeté contre une décision sur mesures provisionnelles, soumise à la procédure sommaire (art. 248 let. d CPC), dans le délai de dix jours (art. 314 al. 1 CPC), suivant la forme écrite prescrite par la loi (art. 130, 131, 311 al. 1 CPC), dans une cause portant notamment sur la fixation du domicile des enfants, considérée comme non pécuniaire (arrêt du Tribunal fédéral 5A_210/2021 du 7 septembre 2021 consid. 1), l'appel est recevable (art. 308 al. 2 CPC).</w:t>
      </w:r>
    </w:p>
    <w:p>
      <w:r>
        <w:rPr>
          <w:b/>
        </w:rPr>
        <w:t>E. 1.2</w:t>
      </w:r>
    </w:p>
    <w:p>
      <w:r>
        <w:t>La Cour revoit la cause en fait et en droit avec un plein pouvoir d'examen (art. 310 CPC). Les maximes d'office et inquisitoire illimitée sont applicables aux questions concernant les enfants mineurs (art. 55 al. 2, 58 al. 2 et 296 CPC), ce qui a pour conséquence que la Cour n'est pas liée par les conclusions des parties (art. 296 al.</w:t>
      </w:r>
    </w:p>
    <w:p>
      <w:r>
        <w:rPr>
          <w:b/>
        </w:rPr>
        <w:t>E. 3</w:t>
      </w:r>
    </w:p>
    <w:p>
      <w:r>
        <w:t>L'intimée a conclu à ce que l'appelant produise des pièces nouvelles concernant sa situation financière.</w:t>
      </w:r>
    </w:p>
    <w:p>
      <w:r>
        <w:rPr>
          <w:b/>
        </w:rPr>
        <w:t>E. 3.1</w:t>
      </w:r>
    </w:p>
    <w:p>
      <w:r>
        <w:t>Aux termes de l'art. 316 al. 1 CPC, l'instance d'appel peut ordonner des débats ou statuer sur pièces. Elle peut aussi administrer des preuves (art. 316 al. 3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w:t>
      </w:r>
    </w:p>
    <w:p>
      <w:r>
        <w:t>- 10/21 -</w:t>
      </w:r>
    </w:p>
    <w:p>
      <w:r>
        <w:t>C/8276/2021 L'autorité jouit d'un large pouvoir d'appréciation (ATF 142 III 413 consid. 2.2.1; arrêt du Tribunal fédéral 5A_37/2017 du 10 juillet 2017 consid. 3.1.2).</w:t>
      </w:r>
    </w:p>
    <w:p>
      <w:r>
        <w:rPr>
          <w:b/>
        </w:rPr>
        <w:t>E. 3.2</w:t>
      </w:r>
    </w:p>
    <w:p>
      <w:r>
        <w:t>En l'espèce, la Cour s'estime suffisamment renseignée pour statuer sur les points faisant l'objet de l'appel, étant rappelé que l'appelant a produit son nouveau contrat de travail. Il ne sera donc pas donné suite aux mesures d'instruction sollicitées par l'intimée, la cause étant en état d'être jugée sur mesures provisionnelles, où la vraisemblance des faits suffit.</w:t>
      </w:r>
    </w:p>
    <w:p>
      <w:r>
        <w:rPr>
          <w:b/>
        </w:rPr>
        <w:t>E. 4</w:t>
      </w:r>
    </w:p>
    <w:p>
      <w:r>
        <w:t>L'appelant reproche au Tribunal d'avoir arbitrairement fixé le domicile des enfants chez leur mère.</w:t>
      </w:r>
    </w:p>
    <w:p>
      <w:r>
        <w:rPr>
          <w:b/>
        </w:rPr>
        <w:t>E. 4.1</w:t>
      </w:r>
    </w:p>
    <w:p>
      <w:r>
        <w:t>Selon l'art. 25 al. 1 CC, l'enfant sous autorité parentale partage le domicile de ses père et mère ou, en l'absence de domicile commun de ceux-ci, le domicile de celui de ses parents qui détient la garde; subsidiairement, son domicile est déterminé par son lieu de résidence. Lorsque le modèle de prise en charge est asymétrique, l'enfant partage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(ACJC/422/2020 du 3 mars 2020, consid. 21.2 ; ACJC1623/2018 du 2 novembre 2018, consid. 6.2; ACJC/742/2017 du 23 juin 2017 consid. 6.1 ; ACJC/1247/2015 du 16 octobre 2015 consid. 3,1). Lorsqu'une garde alternée est attribuée aux parents, le domicile de l'enfant se trouve au lieu de résidence avec lequel les liens sont les plus étroits (ATF 144 V 299 consid. 5.3; arrêt du Tribunal fédéral 5A_210/2021 du 7 septembre 2021 consid. 4.2).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w:t>
      </w:r>
    </w:p>
    <w:p>
      <w:r>
        <w:rPr>
          <w:b/>
        </w:rPr>
        <w:t>E. 4.2</w:t>
      </w:r>
    </w:p>
    <w:p>
      <w:r>
        <w:t>En l'espèce, l'argumentation développée par l'appelant pour contester la fixation du domicile des enfants chez leur mère, à savoir que leur domicile se trouvait chez lui du temps de la vie commune, est dépourvue de pertinence. Le domicile de l'enfant doit être fixé au lieu de résidence avec lequel ses liens sont le plus étroits. Or, en l'état, les enfants sont scolarisés à L______, qui est située à proximité du domicile de leur mère, et il n'est pas allégué que les enfants auraient</w:t>
      </w:r>
    </w:p>
    <w:p>
      <w:r>
        <w:t>- 11/21 -</w:t>
      </w:r>
    </w:p>
    <w:p>
      <w:r>
        <w:t>C/8276/2021 des liens particuliers dans le quartier de leur père, notamment qu'elles y suivraient des activités extrascolaires. En outre, à ce jour, les factures relatives aux enfants sont adressées à l'intimée. Par conséquent, il n'y a pas lieu de modifier cette organisation sur mesures provisionnelles. Il sera ainsi tenu compte, dans le cadre des calculs des contributions d'entretien, du fait que c'est l'intimée qui s'acquittera des frais fixes des enfants. Par conséquent, le chiffre 2 du dispositif de l'ordonnance querellée sera confirmé.</w:t>
      </w:r>
    </w:p>
    <w:p>
      <w:r>
        <w:rPr>
          <w:b/>
        </w:rPr>
        <w:t>E. 5</w:t>
      </w:r>
    </w:p>
    <w:p>
      <w:r>
        <w:t>L'appelant remet en cause le montant qu'il a été condamné à verser pour l'entretien des enfants, qu'il estime trop élevé.</w:t>
      </w:r>
    </w:p>
    <w:p>
      <w:r>
        <w:t>5.1.1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5.1.2 La fixation de la contribution d'entretien relève de l'appréciation du juge, qui jouit d'un large pouvoir en la matière et applique les règles du droit et de l'équité (art. 4 CC; arrêt du Tribunal fédéral 5A_61/2015 du 20 mai 2015 consid. 3.2.1.1 et les arrêts cités). Dans trois arrêts publiés récents (ATF 147 III 265, partiellement traduit in SJ 2021 I 316 ;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w:t>
      </w:r>
    </w:p>
    <w:p>
      <w:r>
        <w:t>- 12/21 -</w:t>
      </w:r>
    </w:p>
    <w:p>
      <w:r>
        <w:t>C/8276/2021 des poursuites ou, si les moyens le permettent, le minimum vital du droit de la famille de chaque partie. L'excédent doit en principe être réparti entre les parents et les enfants mineurs par "grandes têtes" et "petites têtes", la part d'un enfant correspondant à la moitié de celle d'un parent. Cette répartition doit se faire de manière équitable en fonction de la situation concrète, en tenant compte de toutes les circonstances entourant la prise en charge de l'enfant (ATF 147 III 265 précité consid. 7 et 7.1). 5.1.3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w:t>
      </w:r>
    </w:p>
    <w:p>
      <w:r>
        <w:t>Seules les charges effectives, dont le débirentier ou le crédirentier s'acquitte réellement doivent être prises en compte (ATF 140 III 337 consid. 4.2.3, arrêt du Tribunal fédéral 5A_405/2019 du 24 février 2020 consid. 5.2 et les références).</w:t>
      </w:r>
    </w:p>
    <w:p>
      <w:r>
        <w:t>- 13/21 -</w:t>
      </w:r>
    </w:p>
    <w:p>
      <w:r>
        <w:t>C/8276/2021</w:t>
      </w:r>
    </w:p>
    <w:p>
      <w:r>
        <w:t>5.1.4 En cas de garde exclusive, le père ou la mère qui n’a pas la garde doit, en principe, assumer la totalité de l’entretien pécuniaire, sauf lorsque le parent exerçant la garde dispose de capacités financièrement manifestement plus importantes que l’autre parent (ATF 147 III 265 consid. 5.5; arrêt du Tribunal fédéral 5A_549/2019 du 18 mars 2021 consid. 3.4).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w:t>
      </w:r>
    </w:p>
    <w:p>
      <w:r>
        <w:rPr>
          <w:b/>
        </w:rPr>
        <w:t>E. 5.4</w:t>
      </w:r>
    </w:p>
    <w:p>
      <w:r>
        <w:t>C'est donc un montant total de 20'400 fr. [(2 x 1'000 fr. x 3 mois) + (2 x 800 fr. x 9 mois)] qui était dû par l'appelant au titre de contribution à l'entretien de ses enfants du 1er avril 2021 au 31 mars 2022. Pendant cette période, l'appelant a versé à l'intimée une somme totale de 44'275 fr. (1'700 fr. + 1'000 fr. + 1'000 fr. + 32'255 fr. + 8'320 fr.). Il a en outre prouvé s'être acquitté de 528 fr. de frais de parascolaire pour D______ le 20 mai 2021, 20 fr. de frais de cantine pour D______ le 12 juillet 2021, 377 fr. de frais de cantine pour C______ le 28 juillet 2021 et 580 fr. de frais de parascolaire pour D______ le 31 août 2021, soit un montant total de 1'505 fr. Il ne peut être tenu compte des montants versés par l'appelant à J______ car ceux-ci ne peuvent être rattachés à des factures relatives aux enfants. En effet, l'appelant est également assuré auprès de cette société de sorte que ces versements ont pu être effectués pour lui-même. De même, les dépenses de loisirs, dont il n'est pas tenu compte dans le calcul des contributions d'entretien, doivent être écartés ainsi que les frais de vêtements/accessoires puisque l'appelant devait y contribuer pour moitié compte tenu de la garde partagée. C'est ainsi une somme totale de 45'780 fr. (44'275 fr. + 1'505 fr.) dont s'est acquitté l'appelant du 1er avril 2021 au 31 mars 2022 pour l'entretien des enfants, soit un montant supérieur à celui qu'il devait. L'appelant sera dès lors condamné à verser, dès le 1er avril 2022, la somme de 800 fr. par mois, d'avance et par enfant, allocations familiales non comprises, à titre de contribution à leur entretien. Il appartiendra à l'appelant, cas échéant, de compenser celles-ci avec les montants trop versés avant cette date.</w:t>
      </w:r>
    </w:p>
    <w:p>
      <w:r>
        <w:rPr>
          <w:b/>
        </w:rPr>
        <w:t>E. 5.5</w:t>
      </w:r>
    </w:p>
    <w:p>
      <w:r>
        <w:t>L'intimée a été condamnée à prendre en charge la totalité des frais extraordinaires des enfants. L'appelant conclut à ce que ceux-ci soient partagés par moitié entre les parties. Comme il n'est pas rendu vraisemblable que les enfants doivent actuellement faire face à des frais extraordinaires, le chiffre 5 du dispositif de l'ordonnance sur mesures provisionnelles peut être confirmé. Compte tenu de ce qui précède, le chiffre 4 du jugement sera annulé et il sera statué dans le sens de ce qui précède. 6. Lorsque la Cour statue à nouveau, elle se prononce sur les frais fixés par l'autorité inférieure (art. 318 al. 3 CPC).</w:t>
      </w:r>
    </w:p>
    <w:p>
      <w:r>
        <w:t>En l'espèce, la modification partielle du jugement entrepris ne commande pas de revoir la décision du Tribunal sur les frais de première instance, laquelle ne fait l'objet d'aucun grief et est conforme aux normes applicables (art. 31 RTFMC; art. 107 al. 1 ch. c CPC). 7. L'intimé conclut à la mise à la charge de l'appelant des frais d'appel et requiert l'octroi d'une provisio ad litem de 10'000 fr. pour la procédure d'appel.</w:t>
      </w:r>
    </w:p>
    <w:p>
      <w:r>
        <w:t>- 19/21 -</w:t>
      </w:r>
    </w:p>
    <w:p>
      <w:r>
        <w:t>C/8276/2021</w:t>
      </w:r>
    </w:p>
    <w:p>
      <w:r>
        <w:t>7.1 Le devoir d'entretien des parents comprend le versement d'une provisio ad litem dans le cadre d'une action alimentaire (arrêt du Tribunal fédéral 5A_85/2017 du 19 juin 2017 consid. 7.1.2).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(arrêts du Tribunal fédéral 5D_66/2020 du</w:t>
      </w:r>
    </w:p>
    <w:p>
      <w:r>
        <w:rPr>
          <w:b/>
        </w:rPr>
        <w:t>E. 9</w:t>
      </w:r>
    </w:p>
    <w:p>
      <w:r>
        <w:t>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w:t>
      </w:r>
    </w:p>
    <w:p>
      <w:r>
        <w:t>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Le minimum vital du droit des poursuites du parent débirentier doit dans tous les cas être préservé (ATF 147 III 265 consid. 7.4). 5.1.5 Lorsque l'autorité parentale est conjointe, les père et mère déterminent les soins à donner à l'enfant, dirigent son éducation en vue de son bien et prennent les décisions nécessaires, sous réserve de sa propre capacité (art. 301 al. 1 CC). L'exercice de l'autorité parentale, comme du droit de garde, doit poursuivre en toutes circonstances le bien de l'enfant (art. 301 al. 1 CC ; arrêt du Tribunal fédéral 5A_467/2011 du 3 août 2011 consid. 5.1).</w:t>
      </w:r>
    </w:p>
    <w:p>
      <w:r>
        <w:t>- 14/21 -</w:t>
      </w:r>
    </w:p>
    <w:p>
      <w:r>
        <w:t>C/8276/2021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(ATF 136 III 353 consid. 3.2 ; arrêt du Tribunal fédéral 5A_465/2017 du 26 octobre 2017 consid. 5.1.2 et les références citées). 5.1.6 Lorsque deux personnes sont débitrices l'une envers l'autre de sommes d'argent ou d'autres prestations de même espèce, chacune des parties peut compenser sa dette avec sa créance, si les deux dettes sont exigibles (art. 120 al. 1 CO). Ne peuvent être éteintes par compensation contre la volonté du créancier les créances dont la nature spéciale exige le paiement effectif entre les mains du créancier, telles que des aliments (art. 125 ch. 2 CO). Selon la jurisprudence, seules peuvent être déduites les charges qui ont été prises en compte dans la détermination de la contribution, à l'exclusion des versements qui excèdent l'entretien défini dans ce cadre (art. 125 ch. 2 CO; arrêts du Tribunal fédéral 5A_601/2017, 5A_60/2017 du 17 janvier 2018 consid. 10.3; 5A_807/2015 du 7 mars 2016 consid. 3.3; 5A_810/2012 du 22 mars 2013 consid. 3.2). 5.2.1 En l'espèce, compte tenu de la situation financière confortable des parties, c'est à juste titre que les besoins de chaque membre de la famille ont été arrêtés par le Tribunal sur la base du minimum vital du droit de la famille, ce qui n'est pas contesté en appel. Il y a donc lieu de tenir compte des frais médicaux non couverts et des primes d'assurance privées dont les paiements ont été prouvés ainsi que de leurs acomptes d'impôts. 5.2.2 S'agissant des enfants, les frais de loisirs (sport, musique, cours de langues hors appuis scolaire) doivent être écartés, ceux-ci devant cas échéant être couverts par la participation des enfants à l'excédent. La décision querellée n'est pas contestée en tant qu'elle retient que chacun des parents prendra en charge son propre loyer sans qu'une part de celui-ci ne soit intégrée dans les charges des enfants. Le besoin de stabilité des enfants plaide pour que, durant la procédure, celles-ci ne quittent pas leur établissement scolaire actuel. En décider autrement impliquerait pour elles un changement d'environnement ainsi que le risque d'avoir à changer deux fois d'école en peu de temps si le Tribunal devait, dans sa décision au fond, considérer qu'elles peuvent poursuivre leur scolarité en école privée. L'écolage des filles doit donc être pris en compte sur mesures provisionnelles. A cet égard, il est rappelé aux parties qu'il leur appartient de trouver un accord sur la</w:t>
      </w:r>
    </w:p>
    <w:p>
      <w:r>
        <w:t>- 15/21 -</w:t>
      </w:r>
    </w:p>
    <w:p>
      <w:r>
        <w:t>C/8276/2021 question de l'école dans laquelle ils souhaitent inscrire leurs enfants puisqu'elles détiennent l'autorité parentale conjointe et doivent donc en décider ensemble. Ce n'est qu'en dernier ressort que le Tribunal pourrait être amené, faute d'entente entre les parents, à limiter l'autorité parentale de l'un d'eux sur ce point. Compte tenu de ce qui précède, les frais effectifs mensuels de C______ sont de 1'537 fr., comprenant les primes d'assurance-maladie de base et complémentaire (190 fr.), les frais médicaux non-couverts (40 fr., non contestés en appel), l'écolage (425 fr., montant non contesté en appel), les frais de cantine (132 fr. non contesté en appel), les frais de garde (550 fr., montant non contesté en appel), la participation aux impôts de sa mère (100 fr.) et l'entretien de base (400 fr.), sous déduction des allocations familiales (300 fr.). Jusqu'au 30 juin 2021, les frais effectifs mensuels de D______ étaient de 1'198 fr., comprenant les primes d'assurance-maladie de base et complémentaire (166 fr.), les frais médicaux non-couverts (40 fr., non contesté en appel), les frais de parascolaire (145 fr., soit 580 fr. / 3 x 9 mois / 12), les frais de cantine (97 fr., soit 7 fr. 50 x 4 x 4,33 x 9 mois / 12), les frais de nounou (550 fr., montant non contesté en appel), la participation aux impôts de sa mère (100 fr.) et l'entretien de base (400 fr.), sous déduction des allocations familiales (300 fr.). Depuis le 1er juillet 2021, ils sont de 1'513 fr. (1'198 fr. – 145 fr. – 97 fr. + 425 fr. + 132 fr.) compte tenu du fait que D______ a intégré la même école que sa sœur de sorte que ses frais de parascolaire et de cantines scolaires seront remplacés par l'écolage et les frais de cantine selon les tarifs de la nouvelle école. Il n'est pas contesté par les parties en appel que D______ fréquente la cantine quatre midi par semaine comme C______. 5.2.3 Du 1er avril au 30 juin 2021, l'appelant a perçu des indemnités de l'assurance-chômage qui s'élevaient à 9'033 fr. nets en moyenne. Depuis le 1er juillet 2021, il réalise un salaire mensuel net moyen de l'ordre de 18'470 fr. Il n'a pas été rendu vraisemblable qu'il percevra des bonus, le contrat de travail n'en prévoyant pas. Il n'y a pas lieu d'ajouter, sur mesures provisionnelles, les revenus provenant de ses biens immobiliers sis en France dès lors qu'il s'agit de revenus peu importants. Jusqu'au 30 juin 2021, les charges de l'appelant selon le minimum vital du droit de la famille étaient de 7'035 fr., comprenant le loyer (3'450 fr.), les primes d'assurance-maladie de base et complémentaire (620 fr.), les frais médicaux non couverts (149 fr.), l'assurance RC/ménage (60 fr., non contesté en appel), un forfait téléphonie et TV (100 fr., non contesté en appel), les frais de transport dès lors qu'il travaille à E______ (230 fr., non contesté en appel), ses acomptes d'impôts (1'200 fr. cette estimation au moyen de la calculette disponible sur le site Internet de l'Administration fiscale genevoise tient compte de son statut de</w:t>
      </w:r>
    </w:p>
    <w:p>
      <w:r>
        <w:t>- 16/21 -</w:t>
      </w:r>
    </w:p>
    <w:p>
      <w:r>
        <w:t>C/8276/2021 célibataire, de ses revenus et des déductions usuelles [primes d'assurance-maladie, frais médicaux non couverts, frais professionnels et versement d'une contribution d'entretien]), la prime de son assurance juridique (26 fr.) et son entretien de base selon les normes OP (1'200 fr.). Il n'y a pas lieu de tenir compte des taxes foncières relatives à ses biens immobiliers français dès lors qu'il n'est pas tenu compte des revenus de ces biens. Les frais de SIG sont d'ores et déjà inclus dans l'entretien de base selon les normes OP tout comme la redevance télévision. Depuis le 1er juillet 2021, compte tenu de l'augmentation de ses revenus et de la garde partagée des enfants, ses acomptes d'impôts seront de l'ordre de 5'000 fr. par mois et son entretien de base selon les normes OP sera de 1'350 fr., de sorte que ses charges seront de 10'985 fr. (7'035 fr. – 1'200 fr. + 5'000 fr. – 1'200 fr. + 1'350 fr.). Comme l'a relevé à juste titre l'appelant, même si la garde des enfants est partagée, seule l'intimée bénéficie de la déduction fiscale pour charge de famille et du "splitting", qui consiste à diviser par deux le revenu global du couple pour déterminer le taux d'imposition, puisqu'une contribution d'entretien lui sera versée (cf. Guide GeTax 2021 et la lettre d'information fiscale 2/11 – imposition de la famille – de la Direction générale de l'administration fiscale cantonale du 16 février 2011). 5.2.4 Sur mesures provisionnelles, il y a lieu de tenir uniquement compte des revenus effectivement réalisés par l'intimée. La question de savoir si celle-ci peut augmenter ses revenus à l'avenir en gérant différemment sa société devra être examinée, cas échéant, dans le jugement au fond. Par conséquent, c'est à juste titre que le premier juge a retenu que le revenu de l'intimée était de 7'520 fr. nets par mois en se référant au salaire perçu par celle-ci en 2021, année de la séparation des parties. Les charges retenues par le Tribunal pour l'intimée ne sont pas contestées en appel. Cela étant, par égalité de traitement avec l'appelant, il y a lieu de tenir compte de ses primes d'assurance-maladie et de ses frais médicaux non couverts ainsi que de ses acomptes d'impôts compte tenu de la contribution d'entretien qui sera fixée ci-après. Les charges de l'intimée selon le minimum vital du droit de la famille s'élèvent ainsi à 5'462 fr., comprenant le loyer (2'530 fr.), les primes d'assurance-maladie de base et complémentaires (700 fr.), les frais médicaux non couverts (52 fr.), l'assurance RC/ménage (60 fr., non contesté en appel), un forfait téléphonie et TV (100 fr., non contesté en appel), les frais de transport (70 fr., non contesté en appel), ses acomptes d'impôts (600 fr., cette estimation au moyen de la calculette disponible sur le site Internet de l'Administration fiscale genevoise tient compte de son statut de célibataire, de ses revenus et des déductions usuelles [primes d'assurance-maladie, frais médicaux non couverts, frais professionnels et</w:t>
      </w:r>
    </w:p>
    <w:p>
      <w:r>
        <w:t>- 17/21 -</w:t>
      </w:r>
    </w:p>
    <w:p>
      <w:r>
        <w:t>C/8276/2021 versement d'une contribution d'entretien]) et son entretien de base selon les normes OP (1'350 fr.). 5.3.1 Jusqu’au 30 juin 2021, le solde mensuel du père était de 1'998 fr. (9'033 fr. – 7'035 fr.). Depuis le 1er juillet 2021, le solde mensuel du père est de 7'485 fr. (18'470 fr. – 10'985 fr.). Le solde mensuel de l'intimée est de 2'058 fr. (7'520 fr. – 5'462 fr.). 5.3.2 Jusqu'au 30 juin 2021, le solde mensuel de l'appelant était de 1'998 fr., ce qui était insuffisant à couvrir la totalité des charges des enfants. Dès lors que le minimum vital de l'appelant doit être préservé, même si l'intimée avait la garde de fait exclusive des enfants durant cette période, il se justifie qu'elle participe également au paiement de leur frais. Par conséquent, jusqu'au 30 juin 2021, l'appelant sera condamné à verser à l'intimée la somme de 1'000 fr. à l'entretien de chacune des enfants. 5.3.3 Depuis le 1er juillet 2021, la garde des enfants est partagée par moitié entre les parties. Cela étant, l'appelant dispose d'un solde mensuel bien plus important que l'intimée. Il se justifie donc qu'il prenne en charge les 4/5ème des frais des enfants, hors frais de nounous, ces derniers devant être assumés par chacun des parents lorsqu'il en a la garde qui est partagée par moitié. En effet, les deux parents travaillent à plein temps et les frais de garde dépendent uniquement de l'organisation propre à chacun d'eux. Les parents auront également à leur charge les frais courants des enfants lorsqu'ils en auront la garde, étant relevé que la part de la mère sera entièrement couverte par les allocations familiales et qu'il lui restera un bénéfice de 100 fr. Les frais mensuels de C______ devant être couverts s'élèvent à 587 fr. (1'537 fr. – 550 fr. de frais de garde – 400 fr. d'entretien de base), dont 4/5ème représente 469 fr. 60, montant arrondi à 470 fr. que devra couvrir l'appelant. Ceux de D______ s'élèvent à 563 fr. (1'513 fr. – 550 fr. – 400 fr.), dont 4/5ème représente 450 fr. 40, montant arrondi à 450 fr. que devra couvrir l'appelant. 5.3.4 Après couverture des charges des enfants, l'intimée dispose d'un solde de 1'708 fr. (2'058 fr. + 200 fr. de solde d'allocations familiales – 2 x ½ de 550 fr. de frais de garde) dont 1/6ème (285 fr.) revient aux enfants et donc 142 fr. 50 fr. lorsqu'ils sont chez leur père. Après couverture des charges des enfants, l'appelant dispose d'un solde de 5'615 fr. (7'485 fr. – 470 fr. – 450 fr. – 2 x 200 fr. d'entretien de base – 2 x ½ de 550 fr. de frais de garde), de sorte que les enfants peuvent participer à celui-ci à raison d'un sixième (936 fr., soit 5'615 fr. / 6). C'est ainsi une contribution d'entretien de 938 fr. (470 fr. + ½ de 936 fr.), arrêtée en équité à 800 fr., compte tenu de la participation de 142 fr. 50 des enfants à l'excédent de leur mère, qui sera versée en faveur de C______ et de 872 fr. (450 fr. + ½ de 936 fr.), arrêtée en</w:t>
      </w:r>
    </w:p>
    <w:p>
      <w:r>
        <w:t>- 18/21 -</w:t>
      </w:r>
    </w:p>
    <w:p>
      <w:r>
        <w:t>C/8276/2021 équité à 800 fr., qui sera versée en faveur de D______. Cet excédent permettra aux parents de couvrir les activités extrascolaires des enfants.</w:t>
      </w:r>
    </w:p>
    <w:p>
      <w:r>
        <w:rPr>
          <w:b/>
        </w:rPr>
        <w:t>E. 14</w:t>
      </w:r>
    </w:p>
    <w:p>
      <w:r>
        <w:t>août 2020 consid. 3.2; 5A_590/2019 du 13 février 2020 consid. 3.3 et 3.5).</w:t>
      </w:r>
    </w:p>
    <w:p>
      <w:r>
        <w:t>7.2 Les frais judiciaires d'appel seront fixés à 1'500 fr. (art. 37 RTFMC). Ils seront partiellement compensés avec l'avance de 800 fr. versée par l'appelant, qui reste acquise à l'Etat de Genève (art. 111 al. 1 CPC).</w:t>
      </w:r>
    </w:p>
    <w:p>
      <w:r>
        <w:t>Compte tenu de la nature familiale du litige, ils seront répartis à parts égales entre les parties, soit 750 fr. à charge de chacune (art. 107 al. 1 let. c CPC). En effet, dès lors que l'intimée disposait d'une fortune de plus de 40'000 fr. au début de la procédure d'appel, il n'y a pas lieu de mettre l'ensemble des frais judiciaires à la charge de l'appelant. L'intimée sera en conséquence condamnée à verser à l'appelant la somme de 50 fr. à titre de remboursement des frais judiciaires avancés par lui et à payer 700 fr. aux Services financiers du pouvoir judiciaire. Vu la nature familiale du litige, chaque partie supportera ses propres dépens d'appel (art. 107 al. 1 let c. CPC). * * * * *</w:t>
      </w:r>
    </w:p>
    <w:p>
      <w:r>
        <w:t>- 20/21 -</w:t>
      </w:r>
    </w:p>
    <w:p>
      <w:r>
        <w:t>C/8276/2021 PAR CES MOTIFS, La Chambre civile : A la forme : Déclare recevable l'appel interjeté le 7 février 2022 par A______ contre l'ordonnance OTPI/28/2022 rendue le 25 janvier 2022 par le Tribunal de première instance dans la cause C/8276/2021. Au fond : Annule le chiffre 4 du dispositif du jugement attaqué et, statuant à nouveau sur ce point : Constate que A______ s'est entièrement acquitté des contributions dues à l'entretien des enfants C______ et D______ pour la période du 1er avril 2021 au 31 mars 2022. Condamne A______ à verser, par mois et d'avance, allocations familiales non comprises, en mains de B______, 800 fr. à titre de contribution pour l'entretien de l'enfant C______ dès le 1er avril 2022. Condamne A______ à verser, par mois et d'avance, allocations familiales non comprises, en mains de B______, 800 fr. à titre de contribution pour l'entretien de l'enfant D______ dès le 1er avril 2022. Confirme le jugement attaqué pour le surplus. Déboute les parties de toutes autres conclusions. Sur les frais : Arrête les frais judiciaires d'appel à 1'500 fr., les met à la charge de chacune des parties par moitié et les compense partiellement avec l'avance de 800 fr. fournie par A______, laquelle demeure acquise à l'Etat de Genève. Condamne B______ à verser 700 fr. à l'Etat de Genève, soit pour lui les Services financiers du Pouvoir judiciaire, à titre de solde des frais de la procédure d'appel. Condamne B______ à verser 50 fr. à A______ à titre de remboursement des frais judiciaires d'appel.</w:t>
      </w:r>
    </w:p>
    <w:p>
      <w:r>
        <w:t>- 21/21 -</w:t>
      </w:r>
    </w:p>
    <w:p>
      <w:r>
        <w:t>C/8276/2021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