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ACJC/919/2018 vom 9. Juli 2018</w:t>
      </w:r>
    </w:p>
    <w:p>
      <w:r>
        <w:t>GE Cour de justice, 2018-07-09, FR</w:t>
      </w:r>
    </w:p>
    <w:p>
      <w:r>
        <w:rPr>
          <w:b/>
        </w:rPr>
        <w:t xml:space="preserve">Quelle: </w:t>
      </w:r>
      <w:r>
        <w:t>https://mcp.opencaselaw.ch/entscheid/ge_gerichte_ACJC_919_2018</w:t>
      </w:r>
    </w:p>
    <w:p>
      <w:r>
        <w:t>FR: GE_GERICHTE ACJC/919/2018 du 9 juillet 2018</w:t>
      </w:r>
    </w:p>
    <w:p>
      <w:r>
        <w:t>IT: GE_GERICHTE ACJC/919/2018 del 9 luglio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Les deux parties ont produit des pièces nouvelles.</w:t>
      </w:r>
    </w:p>
    <w:p>
      <w:r>
        <w:t>- 5/13 -</w:t>
      </w:r>
    </w:p>
    <w:p>
      <w:r>
        <w:t>C/26577/2017</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décision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Les pièces 3 à 9, 18 et 20 du recourant sont postérieures au 26 février 2018, date à laquelle le Tribunal a gardé la cause à juger, de sorte qu'elles sont recevables. La recevabilité de la pièce 19, datée du 15 février 2018, peut rester ouverte car ce document n'est pas pertinent pour l'issue du litige.</w:t>
      </w:r>
    </w:p>
    <w:p>
      <w:r>
        <w:t>Les pièces 10, 15 à 17, 22 à 25 des intimés sont recevables pour le même motif. Il n'est pas nécessaire de trancher la question de la recevabilité des pièces 14 et 21 des intimés car ces pièces ne sont pas pertinentes pour l'issue du litige.</w:t>
      </w:r>
    </w:p>
    <w:p>
      <w:r>
        <w:rPr>
          <w:b/>
        </w:rPr>
        <w:t>E. 3</w:t>
      </w:r>
    </w:p>
    <w:p>
      <w:r>
        <w:t>Le Tribunal a retenu que l'indication, sur la requête de séquestre, du domicile professionnel de B______ au lieu de son domicile privé ne rendait pas cette requête irrecevable car elle n'était pas de nature à créer une quelconque confusion. Il allait de même de l'indication des pièces par simple numérotation, laquelle n'avait pas empêché le Tribunal de comprendre quels moyens de preuve étaient proposés et pour quels faits.</w:t>
      </w:r>
    </w:p>
    <w:p>
      <w:r>
        <w:t>Le recourant fait valoir que la désignation par numéros des pièces étayant la requête de séquestre a entravé la rédaction de sa prise de position dans le cadre de la procédure d'opposition. Il ne fournit par contre aucune motivation à l'appui de son grief relatif à l'indication de l'adresse professionnelle de B______.</w:t>
      </w:r>
    </w:p>
    <w:p>
      <w:r>
        <w:t>3.1.1 Conformément à l'art. 311 al. 1 CPC, l'appel doit être motivé. Il incombe à l'appelant de démontrer le caractère erroné de la motivation attaquée. Pour satisfaire à cette exigence, il ne lui suffit pas de renvoyer aux moyens soulevés en première instance, ni de se livrer à des critiques toutes générales de la décision</w:t>
      </w:r>
    </w:p>
    <w:p>
      <w:r>
        <w:t>- 6/13 -</w:t>
      </w:r>
    </w:p>
    <w:p>
      <w:r>
        <w:t>C/26577/2017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3.1.2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L'opposant doit tenter de démontrer que son point de vue est plus vraisemblable que celui du créancier séquestrant (arrêts du Tribunal fédéral 5A_328/2013 du</w:t>
      </w:r>
    </w:p>
    <w:p>
      <w:r>
        <w:rPr>
          <w:b/>
        </w:rPr>
        <w:t>E. 3.2</w:t>
      </w:r>
    </w:p>
    <w:p>
      <w:r>
        <w:t>En l'espèce, le grief du recourant relatif à l'indication du domicile professionnel de B______ est irrecevable car il n'est pas motivé.</w:t>
      </w:r>
    </w:p>
    <w:p>
      <w:r>
        <w:t>En tout état de cause c'est à juste titre que le Tribunal a constaté que l'indication de l'adresse professionnelle de l'intéressé au lieu de son adresse privée n'était pas de nature à causer une quelconque confusion de sorte que la requête de séquestre était recevable à cet égard.</w:t>
      </w:r>
    </w:p>
    <w:p>
      <w:r>
        <w:t>Le grief relatif à la numérotation des pièces est également infondé. En effet, conformément à la jurisprudence précitée, le libellé détaillé de chaque pièce en regard de chaque allégué n'est pas imposé par l'art. 252 CPC pour la procédure sommaire. D'une manière générale, le critère déterminant est que l'acte soit rédigé de telle manière que le juge soit en mesure de comprendre quel est l'objet du procès, sur quels faits le demandeur fonde ses prétentions, quels moyens de preuve sont proposés pour quels faits et que le défendeur puisse se déterminer aisément sur ceux-ci et proposer des contre-preuves.</w:t>
      </w:r>
    </w:p>
    <w:p>
      <w:r>
        <w:t>- 8/13 -</w:t>
      </w:r>
    </w:p>
    <w:p>
      <w:r>
        <w:t>C/26577/2017 Ces exigences sont atteintes in casu, comme l'a retenu à bon droit le Tribunal. Le recourant a d'ailleurs été en mesure, sur la base de la requête de séquestre, de rédiger dans le délai légal un mémoire d'opposition complet et détaillé, pièces à l'appui.</w:t>
      </w:r>
    </w:p>
    <w:p>
      <w:r>
        <w:t>C'est par conséquent à juste titre que le Tribunal a considéré la requête des séquestre comme recevable.</w:t>
      </w:r>
    </w:p>
    <w:p>
      <w:r>
        <w:rPr>
          <w:b/>
        </w:rPr>
        <w:t>E. 4</w:t>
      </w:r>
    </w:p>
    <w:p>
      <w:r>
        <w:t>Sur le fond, le Tribunal a retenu que puisque les droits de la masse en faillite de D______ SARL avaient été cédés aux intimés, ceux-ci disposaient d'un titre de mainlevée définitive, de sorte que le cas de séquestre de l'art. 271 al. 1 ch. 6 LP était réalisé.</w:t>
      </w:r>
    </w:p>
    <w:p>
      <w:r>
        <w:t>Le recourant fait valoir que les intimés n'ont pas rendu vraisemblable que la créance de D______ SARL leur avait été cédée. En tout état de cause, la cession au bénéfice de B______ n'était que conditionnelle puisque sa créance avait été contestée dans le cadre de l'action en contestation de l'état de collocation. Le séquestre prétéritait en outre les droits des autres créanciers de D______ SARL. 4.1.1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Contrairement à ce qui vaut pour la mainlevée provisoire (art. 82 al. 2 LP), le poursuivi ne peut se borner à rendre sa libération vraisemblable dans le cadre d'une mainlevée définitive; il doit, au contraire, en apporter la preuve stricte (ATF 136 III 624 consid. 4.2.1; ATF 125 III 42 consid. 2b p. 44 in fine; ATF 124 III 501 consid. 3a et les références).</w:t>
      </w:r>
    </w:p>
    <w:p>
      <w:r>
        <w:t>- 9/13 -</w:t>
      </w:r>
    </w:p>
    <w:p>
      <w:r>
        <w:t>C/26577/2017</w:t>
      </w:r>
    </w:p>
    <w:p>
      <w:r>
        <w:t>4.1.2 Selon l'art. 260 al. 1 LP, si l'ensemble des créanciers renonce à faire valoir une prétention, chacun d'eux peut en demander la cession à la masse en faillite. Le produit, déduction faite des frais, sert à couvrir les créances des cessionnaires dans l'ordre de leur rang et l'excédent est versé à la masse (art. 260 al. 2 LP).</w:t>
      </w:r>
    </w:p>
    <w:p>
      <w:r>
        <w:t>La cession fondée sur l'art. 260 LP, contrairement à celle régie par les art. 164 ss CO, n'a pas pour effet de transférer la créance au cessionnaire. Si la procédure engagée par le cessionnaire a une issue favorable, ce dernier n'en bénéficie prioritairement que dans la seule mesure de la créance produite: un excédent éventuel devra être versé à la masse en faillite. Le débiteur poursuivi par le cessionnaire selon l'art. 260 LP ne peut opposer à ce dernier que les exceptions qu'il aurait pu faire valoir à l'égard du créancier en faillite, respectivement de la masse, à l'exclusion des exceptions personnelles contre les cessionnaires procédant contre lui (arrêt du Tribunal fédéral 5A_879/2017 du 13 décembre 2017, SJ 2018 I 193 consid. 3.2).</w:t>
      </w:r>
    </w:p>
    <w:p>
      <w:r>
        <w:t>Le créancier dont la prétention est contestée dans le cadre d'une action en contestation de l'état de collocation peut demander la cession des droits de la masse au sens de l'art. 260 al. 1 LP. Cette cession est soumise à une condition résolutoire, qui lui fera perdre toute valeur au cas où sa créance était définitivement écartée (ATF 128 III 291 consid. 4, JdT 2002 II 70).</w:t>
      </w:r>
    </w:p>
    <w:p>
      <w:r>
        <w:rPr>
          <w:b/>
        </w:rPr>
        <w:t>E. 4.2</w:t>
      </w:r>
    </w:p>
    <w:p>
      <w:r>
        <w:t>En l'espèce, les intimés sont bien au bénéfice d'un titre de mainlevée définitive puisque le recourant a été condamné à leur verser 50'000 fr. avec intérêts par arrêt de la Cour de justice du 7 avril 2017, lequel est définitif et exécutoire.</w:t>
      </w:r>
    </w:p>
    <w:p>
      <w:r>
        <w:t>La Cour a retenu dans ce cadre que les droits de la masse en faillite de D______ SARL avaient valablement été cédés aux intimés. Le recourant n'a pas contesté, dans le cadre de la procédure devant la Cour, la validité de la cession ni la qualité pour agir de B______, alors même qu'il avait déjà intenté action en contestation de l'état de collocation et qu'il ne pouvait dès lors ignorer que la cession à B______ était soumise à une condition résolutoire en application de la jurisprudence. L'arrêt du 7 avril 2017 a dès lors acquis force de chose jugée sur ce point.</w:t>
      </w:r>
    </w:p>
    <w:p>
      <w:r>
        <w:t>Il ressort en tout état de cause de la jurisprudence précitée que le titulaire d'une créance contestée inscrite à l'état de collocation peut valablement se faire céder les droits de la masse, cette cession était soumise à une condition résolutoire. Or à ce jour, la cession est toujours valable puisque que l'action en contestation de l'état de collocation intentée par le recourant n'a pas abouti. Si la créance de B______ était finalement écartée, cela aurait pour seule conséquence que l'excédent du produit de sa prétention à l'encontre de A______</w:t>
      </w:r>
    </w:p>
    <w:p>
      <w:r>
        <w:t>- 10/13 -</w:t>
      </w:r>
    </w:p>
    <w:p>
      <w:r>
        <w:t>C/26577/2017 qui sera versé à la masse sera plus important que ce qu'il aurait été si la créance de B______ avait été admise. Ainsi, contrairement à ce que soutient le recourant, aucun préjudice n'est à craindre au détriment des autres créanciers de la masse en faillite. Les intimés sont par conséquent bien au bénéfice d'un titre de mainlevée définitive au sens de l'art. 271 al. 1 ch. 6 LP de sorte que le cas de séquestre prévu par cette disposition est réalisé. Au vu de ce qui précède, la question de savoir si le recourant habite ou non effectivement en Suisse n'a pas besoin d'être tranchée.</w:t>
      </w:r>
    </w:p>
    <w:p>
      <w:r>
        <w:rPr>
          <w:b/>
        </w:rPr>
        <w:t>E. 5</w:t>
      </w:r>
    </w:p>
    <w:p>
      <w:r>
        <w:t>Le Tribunal a retenu que les intimés avaient établi le lieu de situation des biens à séquestrer, relevant qu'ils avaient précisé lors de l'audience du 26 février 2018 que les actions de F______ SA étaient déposées en mains de l'Office des poursuites de E______ [VS].</w:t>
      </w:r>
    </w:p>
    <w:p>
      <w:r>
        <w:t>Le recourant fait valoir que la requête de séquestre ne mentionne pas le lieu de situation des actions dont le séquestre a été ordonné de sorte que l'une des conditions du séquestre n'est pas réalisée.</w:t>
      </w:r>
    </w:p>
    <w:p>
      <w:r>
        <w:rPr>
          <w:b/>
        </w:rPr>
        <w:t>E. 5.1</w:t>
      </w:r>
    </w:p>
    <w:p>
      <w:r>
        <w:t>Le créancier séquestrant a l'obligation de désigner les biens à séquestrer. En effet, le préposé ne les recherche pas d'office et le débiteur n'a pas l'obligation de fournir des indications (STOFFEL/CHABLOZ, Voies d'exécution, 2016, n. 43, p. 225). Les objets doivent être désignés par une description et par une indication précise de leur lieu de situation. Les actions et les papiers-valeurs sont en principe traités comme des objets corporels. Leur lieu de situation se trouve à l'endroit où ils sont localisés physiquement (STOFFEL/CHABLOZ, op. cit., n. 44, p. 225 et n. 80, p. 261). Les actions et les papiers-valeurs sont cependant assimilés à des créances lorsque la société n'a pas émis physiquement les titres. L'actionnaire de la société dispose alors d'une créance contre celle-ci, créance qui est située auprès de l'actionnaire ou, si celui-ci n'est pas en Suisse, auprès de la société (STOFFEL/CHABLOZ, op. cit., n. 80, p. 261). Dans la procédure d'opposition au séquestre, le juge doit examiner le bien-fondé des allégations, notamment (à nouveau) si les allégations du créancier remplissent les conditions d'octroi du séquestre. Il doit revoir la cause dans son entier et tenir compte de la situation telle qu'elle se présente au moment de la décision sur opposition (STOFFEL/CHABLOZ, op. cit., n. 80, p. 261).</w:t>
      </w:r>
    </w:p>
    <w:p>
      <w:r>
        <w:rPr>
          <w:b/>
        </w:rPr>
        <w:t>E. 5.2</w:t>
      </w:r>
    </w:p>
    <w:p>
      <w:r>
        <w:t>En l'espèce, les intimés ont indiqué lors de l'audience du Tribunal du 26 février 2018 que les actions de F______ SA se trouvaient en mains de l'Office</w:t>
      </w:r>
    </w:p>
    <w:p>
      <w:r>
        <w:t>- 11/13 -</w:t>
      </w:r>
    </w:p>
    <w:p>
      <w:r>
        <w:t>C/26577/2017 des poursuites de E______, de sorte que, pour ces actions, il convient de retenir que la désignation par les intimés du lieu de situation des biens à séquestrer est conforme aux exigences légales. Tel n'est par contre pas le cas des allégations des intimés concernant les actions de sociétés I______ SA, G______SA et H______ SA. Les intimés n'ont notamment pas allégué que ces actions n'avaient pas été émises, ce qui aurait pu permettre qu'elles soient séquestrées auprès de l'actionnaire ou auprès de la société. Il leur incombait ainsi de désigner le lieu de situation de ces actions, ce qu'ils n'ont pas fait. Le séquestre doit donc être annulé en tant qu'il porte sur les actions des sociétés précitées. La décision querellée sera par contre confirmée en tant qu'elle porte sur le séquestre des actions de la société F______ SA.</w:t>
      </w:r>
    </w:p>
    <w:p>
      <w:r>
        <w:rPr>
          <w:b/>
        </w:rPr>
        <w:t>E. 6</w:t>
      </w:r>
    </w:p>
    <w:p>
      <w:r>
        <w:t>Il n'y a pas lieu de condamner les intimés à une amende pour téméraires plaideurs au sens de l'art. 128 al. 3 CPC car il n'est pas établi qu'ils auraient allégué des faits dont ils connaissaient la fausseté.</w:t>
      </w:r>
    </w:p>
    <w:p>
      <w:r>
        <w:rPr>
          <w:b/>
        </w:rPr>
        <w:t>E. 7</w:t>
      </w:r>
    </w:p>
    <w:p>
      <w:r>
        <w:t>Les frais sont mis à la charge de la partie succombante (art. 106 al. 1 CPC). Lorsqu'aucune des parties n'obtient entièrement gain de cause, les frais sont répartis selon le sort de la cause (art. 106 al. 2 CPC).</w:t>
      </w:r>
    </w:p>
    <w:p>
      <w:r>
        <w:t>En l'espèce, au vu de l'issue du litige, il se justifie de mettre les frais des deux instances à charge des parties à raison d'une moitié chacune. Les frais judiciaires de première instance seront fixés à 800 fr. et ceux d'appel à 600 fr. (art. 48 et 61 OELP) et compensés avec les avances versées par le recourant en 1'000 fr. et par les intimés en 400 fr. (art. 111 al. 1 CPC), acquises à l'Etat de Genève. Le recourant sera ainsi condamné à verser 300 fr. aux intimés au titre des frais judiciaires. Chacune des parties gardera ses dépens à sa charge. * * * * *</w:t>
      </w:r>
    </w:p>
    <w:p>
      <w:r>
        <w:t>- 12/13 -</w:t>
      </w:r>
    </w:p>
    <w:p>
      <w:r>
        <w:t>C/26577/2017 PAR CES MOTIFS, La Chambre civile : A la forme : Déclare recevable le recours interjeté par A______ contre le jugement OSQ/12/2018 rendu le 4 avril 2018 par le Tribunal de première instance dans la cause C/26577/2017-9 SQP. Au fond : Annule ce jugement et, statuant à nouveau : Admet partiellement l'opposition formée le 17 janvier 2018 par A______ contre l'ordonnance de séquestre rendue le 20 décembre 2017 par le Tribunal de première instance dans la cause C/26577/17-9 SQP. Confirme le séquestre du 85% des actions de la société F______ SA, sise ______, E______ [VS], propriété de A______, à concurrence de 50'000 fr. avec intérêts à 5% dès le 30 novembre 2009 au profit de B______ et C______SA. Ordonne la levée du séquestre pour le surplus. Déboute les parties de toutes autres conclusions. Sur les frais : Arrête à 1'400 fr. les frais judiciaires de première et seconde instance, les compense avec les avances versées par les parties, acquises à l'Etat de Genève et les met à charge des parties à raison d'une moitié chacune. Condamne A______ à verser 300 fr. à B______ et C______SA, pris conjointement, au titre de frais judiciaires des deux instances. Dit qu'il n'est pas alloué de dépens. Siégeant : Madame Fabienne GEISINGER-MARIETHOZ, présidente; Monsieur Laurent RIEBEN, juge; Monsieur Louis PEILA, juge suppléant; Madame Fatina SCHAERER, greffière.</w:t>
      </w:r>
    </w:p>
    <w:p>
      <w:r>
        <w:t>La présidente : Fabienne GEISINGER-MARIETHOZ</w:t>
      </w:r>
    </w:p>
    <w:p>
      <w:r>
        <w:t>La greffière : Fatina SCHAERER</w:t>
      </w:r>
    </w:p>
    <w:p>
      <w:r>
        <w:t>- 13/13 -</w:t>
      </w:r>
    </w:p>
    <w:p>
      <w:r>
        <w:t>C/26577/2017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