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ACJC/915/2020 vom 25. Juni 2020</w:t>
      </w:r>
    </w:p>
    <w:p>
      <w:r>
        <w:t>GE Cour de justice, 2020-06-25, FR</w:t>
      </w:r>
    </w:p>
    <w:p>
      <w:r>
        <w:rPr>
          <w:b/>
        </w:rPr>
        <w:t xml:space="preserve">Quelle: </w:t>
      </w:r>
      <w:r>
        <w:t>https://mcp.opencaselaw.ch/entscheid/ge_gerichte_ACJC_915_2020</w:t>
      </w:r>
    </w:p>
    <w:p>
      <w:r>
        <w:t>FR: GE_GERICHTE ACJC/915/2020 du 25 juin 2020</w:t>
      </w:r>
    </w:p>
    <w:p>
      <w:r>
        <w:t>IT: GE_GERICHTE ACJC/915/2020 del 25 giugno 2020</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- 4/7 -</w:t>
      </w:r>
    </w:p>
    <w:p>
      <w:r>
        <w:t>C/22809/2019 Par ailleurs, la maxime des débats s'applique et la preuve des faits allégués doit être apportée par titre (art. 55 al. 1, 255 let. a a contrario et 254 CPC). En outre, la maxime de disposition s'applique (art. 58 al. 1 CPC).</w:t>
      </w:r>
    </w:p>
    <w:p>
      <w:r>
        <w:rPr>
          <w:b/>
        </w:rPr>
        <w:t>E. 1.3</w:t>
      </w:r>
    </w:p>
    <w:p>
      <w:r>
        <w:t>S'agissant d'une procédure de mainlevée définitive, la Cour doit vérifier d'office si la requête est fondée sur un titre de mainlevée valable (arrêt du Tribunal fédéral 5P_174/2005 du 7 octobre 2005 consid. 2.1). Dans cette mesure, la Cour applique librement le droit.</w:t>
      </w:r>
    </w:p>
    <w:p>
      <w:r>
        <w:rPr>
          <w:b/>
        </w:rPr>
        <w:t>E. 2</w:t>
      </w:r>
    </w:p>
    <w:p>
      <w:r>
        <w:t>Les conclusions, les allégations de faits et les preuves nouvelles sont irrecevables (art. 326 al. 1 CPC). Ainsi, les pièces 4 et 5 nouvelles de la recourante ne sont pas recevables. Elles ne sont de toute façon pas déterminantes pour la solution du litige.</w:t>
      </w:r>
    </w:p>
    <w:p>
      <w:r>
        <w:rPr>
          <w:b/>
        </w:rPr>
        <w:t>E. 3</w:t>
      </w:r>
    </w:p>
    <w:p>
      <w:r>
        <w:t>La recourante fait grief au Tribunal d'avoir rejeté la requête en mainlevée définitive, en considérant à tort que l'intimé avait démontré l'extinction de sa dette en produisant la facture du 31 août 2018.</w:t>
      </w:r>
    </w:p>
    <w:p>
      <w:r>
        <w:rPr>
          <w:b/>
        </w:rPr>
        <w:t>E. 3.1.1</w:t>
      </w:r>
    </w:p>
    <w:p>
      <w:r>
        <w:t>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Berne 2017, n° 149 ad art. 80 LP).</w:t>
      </w:r>
    </w:p>
    <w:p>
      <w:r>
        <w:rPr>
          <w:b/>
        </w:rPr>
        <w:t>E. 3.1.2</w:t>
      </w:r>
    </w:p>
    <w:p>
      <w:r>
        <w:t>Les personnes tenues de payer des cotisations qui ne les versent pas ou ne remettent pas le décompte relatif aux cotisations paritaires dans les délais prescrits</w:t>
      </w:r>
    </w:p>
    <w:p>
      <w:r>
        <w:t>- 5/7 -</w:t>
      </w:r>
    </w:p>
    <w:p>
      <w:r>
        <w:t>C/22809/2019 recevront immédiatement une sommation écrite de la Caisse de compensation. La sommation est assortie d'une taxe de 20 à 200 fr. (art. 34a RAVS).</w:t>
      </w:r>
    </w:p>
    <w:p>
      <w:r>
        <w:t>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w:t>
      </w:r>
    </w:p>
    <w:p>
      <w:r>
        <w:rPr>
          <w:b/>
        </w:rPr>
        <w:t>E. 3.2</w:t>
      </w:r>
    </w:p>
    <w:p>
      <w:r>
        <w:t>En l'espèce, il n'est pas contesté que la recourante a notifié à l'intimée une décision du 13 novembre 2018, portant sur un montant comprenant les cotisations faisant l'objet de la poursuite. Cette décision avait été précédée d'une sommation visant les mêmes cotisations. Il n'est pas contesté non plus que la décision du 13 novembre 2018 n'a pas fait l'objet d'une opposition. Ladite décision constitue un titre de mainlevée définitive au sens des art. 80 LP et 54 LPGA. Les cotisations, les frais d'administration et la taxe de sommation sont fondées sur les dispositions légales rappelées ci-dessus. Contrairement à ce qu'a retenu le Tribunal, la facture 4______ émise par la recourante le 31 août 2018 n'annule pas la facture 2______ du 27 août 2018, que l'intimé ne prétend pas avoir réglée et qui a donné lieu à la décision non contestée du 13 novembre 2018. Elle ne mentionne pas que les cotisations personnelles et frais d'administration litigieux ne sont plus dus, mais uniquement qu'ils ont déjà été facturés. Même si l'on comprend mal pour quelles raisons elle a été établie, la</w:t>
      </w:r>
    </w:p>
    <w:p>
      <w:r>
        <w:t>- 6/7 -</w:t>
      </w:r>
    </w:p>
    <w:p>
      <w:r>
        <w:t>C/22809/2019 facture du 31 août 2018 ne peut donc pas être considérée comme un titre établissant que la dette a été éteinte. Dès lors, le recours sera admis. La cause étant en état d'être jugée, il sera statué à nouveau (art. 327 al. 3 let. b CPC), dans ce sens que la mainlevée définitive sera prononcée. 4. L'intimé, qui succombe, sera condamné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 à 100 fr. Partant, l'émolument de la présente décision sera fixé à 150 fr. et compensé avec l'avance de frais du même montant fournie par la recourante, acquise à l'Etat (art. 111 al. 1 CPC). L'intimé sera en conséquence condamné à verser la somme de 250 fr. à titre de remboursement des avances de frais à la recourante. Il ne sera pas alloué de dépens à la recourante qui comparaît en personne, les démarches effectuées ne le justifiant pas (art. 95 al. 3 let. c CPC a contrario). * * * * *</w:t>
      </w:r>
    </w:p>
    <w:p>
      <w:r>
        <w:t>- 7/7 -</w:t>
      </w:r>
    </w:p>
    <w:p>
      <w:r>
        <w:t>C/22809/2019 PAR CES MOTIFS, La Chambre civile : A la forme : Déclare recevable le recours interjeté le 7 mai 2020 par A______ contre le jugement JTPI/4726/2020 rendu le 23 avril 2020 par le Tribunal de première instance dans la cause C/22809/2019-16 SML. Au fond : Annule ce jugement et, statuant à nouveau : Prononce la mainlevée définitive de l'opposition formée par B______ au commandement de payer, poursuite n° 1______. Déboute les parties de toutes autres conclusions. Sur les frais de première instance et de recours : Arrête les frais judiciaires des deux instances à 250 fr., les met à la charge de B______ et les compense avec les avances fournies, lesquelles demeurent acquises à l'Etat de Genève. Condamne en conséquence B______ à verser 250 fr. à A______.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w:t>
      </w:r>
    </w:p>
    <w:p>
      <w:r>
        <w:t>Les décisions et les décisions sur opposition exécutoires qui portent condamnation à payer une somme d'argent ou à fournir des sûretés sont assimilées aux jugements exécutoires au sens de l'art. 80 LP (art. 54 al. 2 LPGA).</w:t>
      </w:r>
    </w:p>
    <w:p>
      <w:r>
        <w:t>Pour couvrir leurs frais d'administration, les caisses de compensation perçoivent de leurs affiliés des contributions aux frais d'administration, lesquels ne doivent pas dépasser 5% de la somme des cotisations qui doivent être versées (art. 69 al. 1 LAVS, 157 RAVS et 1 Ordonnance du 19 octobre 2011 du DFI sur le taux maximum des contributions aux frais d'administration dans l'AVS).</w:t>
      </w:r>
    </w:p>
    <w:p>
      <w:r>
        <w:t>Doivent payer des intérêts moratoires les personnes tenues de payer des cotisations sur les cotisations qu'elles ne versent pas dans les trente jours à compter du terme de la période de paiement, dès le terme de la période de paiement (art. 41bis al. 1 let. a RAVS). Le taux des intérêts moratoires et rémunératoires s'élève à 5% par année (art. 42 al. 2 RAVS). Les intérêts sont calculés par jour. Les mois entiers sont comptés comme 30 jours (art. 42 al. 3 RAVS).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