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ACJC/913/2023 vom 8. Juni 2023</w:t>
      </w:r>
    </w:p>
    <w:p>
      <w:r>
        <w:t>GE Cour de justice, 2023-06-08, FR</w:t>
      </w:r>
    </w:p>
    <w:p>
      <w:r>
        <w:rPr>
          <w:b/>
        </w:rPr>
        <w:t xml:space="preserve">Quelle: </w:t>
      </w:r>
      <w:r>
        <w:t>https://mcp.opencaselaw.ch/entscheid/ge_gerichte_ACJC_913_2023</w:t>
      </w:r>
    </w:p>
    <w:p>
      <w:r>
        <w:t>FR: GE_GERICHTE ACJC/913/2023 du 8 juin 2023</w:t>
      </w:r>
    </w:p>
    <w:p>
      <w:r>
        <w:t>IT: GE_GERICHTE ACJC/913/2023 del 8 giugno 2023</w:t>
      </w:r>
    </w:p>
    <w:p>
      <w:pPr>
        <w:pStyle w:val="Heading2"/>
      </w:pPr>
      <w:r>
        <w:t>Volltext</w:t>
      </w:r>
    </w:p>
    <w:p>
      <w:r>
        <w:t>Le présent arrêt est communiqué aux parties par plis recommandés du 05.07.2023.</w:t>
      </w:r>
    </w:p>
    <w:p>
      <w:r>
        <w:t>REPUBLIQUE ET</w:t>
      </w:r>
    </w:p>
    <w:p>
      <w:r>
        <w:t>CANTON DE GENEVE POUVOIR JUDICIAIRE C/2931/2022 ACJC/913/2023 ARRÊT DE LA COUR DE JUSTICE Chambre des baux et loyers DU LUNDI 3 JUILLET 2023</w:t>
      </w:r>
    </w:p>
    <w:p>
      <w:r>
        <w:t>Entre A______, sise ______, appelante d'un jugement rendu par le Tribunal des baux et loyers le 8 juin 2023, comparant par Me Sidonie MORVAN, avocate, rue Bovy-Lysberg 2, case postale 5067, 1211 Genève 3, en l'étude de laquelle elle fait élection de domicile, et 1) FONDATION B______, p.a FONDATION POUR LES TERRAINS INDUSTRIELS DE GENEVE (FTI), avenue de la Praille 50, 1227 Carouge, 2) FONDATION POUR LES TERRAINS INDUSTRIELS DE GENEVE (FTI), avenue de la Praille 50, 1227 Carouge, intimées, comparant toutes deux en personne.</w:t>
      </w:r>
    </w:p>
    <w:p>
      <w:r>
        <w:t>- 2/3 -</w:t>
      </w:r>
    </w:p>
    <w:p>
      <w:r>
        <w:t>C/2931/2022 Vu, EN FAIT, la décision du 8 juin 2023, notifiée aux parties le même jour, par lequel le Tribunal des baux et loyers a rayé la cause du rôle "vu le retrait de la requête avec désistement d'action" (art. 241 CPC); Vu l'appel expédié le 19 juin 2023 au greffe de la Chambre des baux et loyers de la Cour de justice par A______ contre ce jugement; Qu'elle a préalablement conclu à la suspension de la présente procédure d'appel jusqu'à droit jugé sur sa demande de rectification de la décision du 8 juin 2023, pendante devant le Tribunal; Considérant, EN DROIT, que la suspension peut être ordonnée si des motifs d'opportunité le commandent (art. 126 al. 1 CPC); Que tel est le cas en l'espèce; Qu'il se justifie en effet de suspendre la présente procédure jusqu'à droit jugé par le Tribunal des baux et loyers sur la demande de rectification; Qu'en effet, si le Tribunal devait admettre cette demande, l'appel deviendrait sans objet; Que la procédure sera reprise à la requête de la partie la plus diligente; Que la procédure est gratuite (art. 22 al. 1 LaCC; ATF 139 III 182 consid. 2.6). * * * * *</w:t>
      </w:r>
    </w:p>
    <w:p>
      <w:r>
        <w:t>- 3/3 -</w:t>
      </w:r>
    </w:p>
    <w:p>
      <w:r>
        <w:t>C/2931/2022 PAR CES MOTIFS, La Chambre des baux et loyers : Suspend la procédure C/2931/2022. Dit qu'elle sera reprise à la requête de la partie la plus diligente. Siégeant : Monsieur Cédric-Laurent MICHEL, président ad interim; Madame Nathalie LANDRY- BARTHE et Monsieur Laurent RIEBEN, juges; Madame Zoé SEILER et Monsieur Nicolas DAUDIN, juges assesseurs; Madame Joëlle DEBONNEVILLE, greffière.</w:t>
      </w:r>
    </w:p>
    <w:p>
      <w:r>
        <w:t>Le président ad interim : Cédric-Laurent MICHEL</w:t>
      </w:r>
    </w:p>
    <w:p>
      <w:r>
        <w:t>La greffière : Joëlle DEBONNEVILLE</w:t>
      </w:r>
    </w:p>
    <w:p>
      <w:r>
        <w:t>Indication des voies de recours :</w:t>
      </w:r>
    </w:p>
    <w:p>
      <w:r>
        <w:t>Conformément aux art. 72 ss de la loi fédérale sur le Tribunal fédéral du 17 juin 2005 (LTF;RS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