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ACJC/913/2018 vom 9. Juli 2018</w:t>
      </w:r>
    </w:p>
    <w:p>
      <w:r>
        <w:t>GE Cour de justice, 2018-07-09, FR</w:t>
      </w:r>
    </w:p>
    <w:p>
      <w:r>
        <w:rPr>
          <w:b/>
        </w:rPr>
        <w:t xml:space="preserve">Quelle: </w:t>
      </w:r>
      <w:r>
        <w:t>https://mcp.opencaselaw.ch/entscheid/ge_gerichte_ACJC_913_2018</w:t>
      </w:r>
    </w:p>
    <w:p>
      <w:r>
        <w:t>FR: GE_GERICHTE ACJC/913/2018 du 9 juillet 2018</w:t>
      </w:r>
    </w:p>
    <w:p>
      <w:r>
        <w:t>IT: GE_GERICHTE ACJC/913/2018 del 9 luglio 2018</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en la matière, qu'il s'agisse d'une décision de refus de séquestre ou d'une décision sur opposition au séquestre (arrêt du Tribunal fédéral 5A_508/2012 du 28 août 2012, consid. 3.1).</w:t>
      </w:r>
    </w:p>
    <w:p>
      <w:r>
        <w:rPr>
          <w:b/>
        </w:rPr>
        <w:t>E. 1.2</w:t>
      </w:r>
    </w:p>
    <w:p>
      <w:r>
        <w:t>Le recours, écrit et motivé, doit être formé dans un délai de dix jours à compter de la notification de la décision (art. 321 al. 1 et 2 CPC).</w:t>
      </w:r>
    </w:p>
    <w:p>
      <w:r>
        <w:t>Le recours, interjeté dans le délai et selon la forme prévus par la loi, est recevable.</w:t>
      </w:r>
    </w:p>
    <w:p>
      <w:r>
        <w:rPr>
          <w:b/>
        </w:rPr>
        <w:t>E. 1.3</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t>Conformément à ce qui précède, A______ n'a pas été invité à se déterminer sur le recours.</w:t>
      </w:r>
    </w:p>
    <w:p>
      <w:r>
        <w:rPr>
          <w:b/>
        </w:rPr>
        <w:t>E. 2</w:t>
      </w:r>
    </w:p>
    <w:p>
      <w:r>
        <w:t>Le Tribunal a retenu que la cession signée par B______ en faveur du recourant n'était pas valable en raison du fait que le nom du débiteur n'y était pas mentionné, de sorte qu'il n'était pas possible de déterminer qui était le débiteur cédé, et partant la créance cédée, à la seule lecture du titre.</w:t>
      </w:r>
    </w:p>
    <w:p>
      <w:r>
        <w:t>- 4/9 -</w:t>
      </w:r>
    </w:p>
    <w:p>
      <w:r>
        <w:t>C/12234/2018</w:t>
      </w:r>
    </w:p>
    <w:p>
      <w:r>
        <w:t>Le recourant fait valoir que les indications figurant dans l'acte de cession, à savoir les noms, prénoms et dates de naissance de B______ et des enfants issus de son union avec A______, sont suffisants pour identifier le débiteur cédé. 2.1.1 Selon l'art. 271 al.1 ch. 6 LP le créancier d'une dette échue et non garantie par gage peut requérir le séquestre des biens du débiteur lorsqu'il possède contre lui un titre de mainlevée définitive.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w:t>
      </w:r>
    </w:p>
    <w:p>
      <w:r>
        <w:t>2.1.2 Selon l'art. 164 al. 1 CO, le créancier peut céder son droit à un tiers sans le consentement du débiteur, à moins que la cession n'en soit interdite par la loi, la convention ou la nature de l'affaire. Pour être valable, l'acte de cession doit respecter la forme écrite (art. 165 CO). Il faut que le contenu de la créance cédée, les personnes concernées, ainsi que les modalités de la cession soient déterminées ou à tout le moins déterminables (ATF 131 III 217 consid. 3). Le montant de la créance n'a pas besoin d'être indiqué (PROBST, Commentaire romand, 2012, n. 5 ad art. 165 CO). 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il suffit que la volonté de cession du cédant puisse, selon les règles de la bonne foi, être déduite par interprétation de l'acte de cession écrit. L'exigence de la forme écrite tend uniquement à assurer la sécurité et la transparence des transactions, et non</w:t>
      </w:r>
    </w:p>
    <w:p>
      <w:r>
        <w:t>- 5/9 -</w:t>
      </w:r>
    </w:p>
    <w:p>
      <w:r>
        <w:t>C/12234/2018 pas à protéger le cédant d'une cession irréfléchie;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 pouvoir identifier le nouveau créancier et la créance (arrêt du Tribunal fédéral 4A_248/2015 du 15 janvier 2016, consid. 4.1). L'acte de cession doit être interprété selon les principes généraux en la matière. Il faut établir ce que les parties ont réellement voulu ou, à défaut, quel sens peut de bonne foi être attribué à leurs déclarations. Puis il faut examiner si les parties se sont suffisamment exprimées en la forme prescrite par la loi (ATF 122 III 361 consid. 4).</w:t>
      </w:r>
    </w:p>
    <w:p>
      <w:r>
        <w:rPr>
          <w:b/>
        </w:rPr>
        <w:t>E. 2.2</w:t>
      </w:r>
    </w:p>
    <w:p>
      <w:r>
        <w:t>En l'espèce, contrairement à ce qu'a retenu le Tribunal, l'acte de cession signé par les parties le 13 novembre 2017 satisfait aux exigences légales. En effet, même si le nom du débiteur n'y est pas expressément mentionné, il ressort de l'acte que celui-ci est le mari de B______, à savoir A______, puisque l'acte mentionne que la cession concerne l'encaissement de pensions alimentaires. Aucun élément du dossier ne permet en outre de retenir que l'une ou l'autre des parties concernées serait dans l'incapacité, au vu de la formulation de l'acte de cession, de déterminer qui est le débiteur de la créance cédée et, partant, de quelle créance il s'agit. Il n'apparaît pas non plus qu'il y aurait une divergence de volonté des parties sur ce point. A cela s'ajoute le fait que, dans le cadre de la requête de séquestre litigieuse, la cession était accompagnée de l'arrêt de la Cour du 9 juin 2017 qui désignait, sans doute possible A______ comme débiteur des pensions alimentaires dues à B______ et ses enfants. Il convient ainsi de retenir, au stade de la vraisemblance, que la formulation de l'acte de cession permet aux personnes concernées de déterminer qui est le débiteur de la créance cédée. C'est par conséquent à tort que le Tribunal a rejeté la requête de séquestre au motif que les créances relatives aux contributions d'entretien arrêtées par arrêt de la Cour du 9 juin 2017 n'avaient pas été valablement cédées au recourant.</w:t>
      </w:r>
    </w:p>
    <w:p>
      <w:r>
        <w:rPr>
          <w:b/>
        </w:rPr>
        <w:t>E. 2.3</w:t>
      </w:r>
    </w:p>
    <w:p>
      <w:r>
        <w:t>Les autres conditions légales au prononcé du séquestre sont par ailleurs réalisées. En effet, le recourant dispose d'un titre de mainlevée définitive, à savoir l'arrêt de la Cour du 9 juin 2017, lequel est définitif et exécutoire.</w:t>
      </w:r>
    </w:p>
    <w:p>
      <w:r>
        <w:t>- 6/9 -</w:t>
      </w:r>
    </w:p>
    <w:p>
      <w:r>
        <w:t>C/12234/2018 Le montant de la créance ressort de manière suffisamment vraisemblable du relevé de compte produit par le recourant pour la période du 1er décembre 2017 au 31 mai 2018. Le recourant s'est fait céder la créance d'entretien afin qu'il procède à son recouvrement. Enfin, la production par le recourant de la fiche de salaire de A______ datée de mai 2017 et de l'extrait de son compte bancaire du 2 décembre 2017 permettent de retenir qu'il existe vraisemblablement en Suisse des biens appartenant au débiteur. Le recours sera par conséquent admis et l'ordonnance attaquée sera annulée. Dans la mesure où la cause est en état d'être jugée (art. 327 al. 3 let. b CPC), le séquestre du salaire, y compris le 13ème salaire et/ou toute autre gratification, bonus ou commissions versés par E______ à A______, ainsi que le séquestre de son compte bancaire IBAN 1______ auprès de F______ sera ordonné à concurrence de 13'680 fr. avec intérêts à 5% l'an dès le 1er mars 2018.</w:t>
      </w:r>
    </w:p>
    <w:p>
      <w:r>
        <w:rPr>
          <w:b/>
        </w:rPr>
        <w:t>E. 2.4</w:t>
      </w:r>
    </w:p>
    <w:p>
      <w:r>
        <w:t>En l'état, il ne se justifie pas de condamner le recourant à verser des sûretés selon l'art. 273 al. 1 in fine LP.</w:t>
      </w:r>
    </w:p>
    <w:p>
      <w:r>
        <w:rPr>
          <w:b/>
        </w:rPr>
        <w:t>E. 3</w:t>
      </w:r>
    </w:p>
    <w:p>
      <w:r>
        <w:t>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w:t>
      </w:r>
    </w:p>
    <w:p>
      <w:r>
        <w:t>- 9/9 -</w:t>
      </w:r>
    </w:p>
    <w:p>
      <w:r>
        <w:t>C/12234/2018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4</w:t>
      </w:r>
    </w:p>
    <w:p>
      <w:r>
        <w:t>Caducité du séquestre (art. 280 LP) Les effets du séquestre cessent lorsque le créancier : 1. laisse écouler les délais qui lui sont assignés à l'article 279;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