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ACJC/911/2021 vom 14. Juli 2021</w:t>
      </w:r>
    </w:p>
    <w:p>
      <w:r>
        <w:t>GE Cour de justice, 2021-07-14, FR</w:t>
      </w:r>
    </w:p>
    <w:p>
      <w:r>
        <w:rPr>
          <w:b/>
        </w:rPr>
        <w:t xml:space="preserve">Quelle: </w:t>
      </w:r>
      <w:r>
        <w:t>https://mcp.opencaselaw.ch/entscheid/ge_gerichte_ACJC_911_2021</w:t>
      </w:r>
    </w:p>
    <w:p>
      <w:r>
        <w:t>FR: GE_GERICHTE ACJC/911/2021 du 14 juillet 2021</w:t>
      </w:r>
    </w:p>
    <w:p>
      <w:r>
        <w:t>IT: GE_GERICHTE ACJC/911/2021 del 14 luglio 2021</w:t>
      </w:r>
    </w:p>
    <w:p>
      <w:pPr>
        <w:pStyle w:val="Heading2"/>
      </w:pPr>
      <w:r>
        <w:t>Erwägungen</w:t>
      </w:r>
    </w:p>
    <w:p>
      <w:r>
        <w:rPr>
          <w:b/>
        </w:rPr>
        <w:t>E. 1</w:t>
      </w:r>
    </w:p>
    <w:p>
      <w:r>
        <w:t>Les recourants font valoir que le G______ est une entité directement affiliée aux intimés et que la prof. I______ est médecin-cheffe de service au sein du Département de médecine de premier recours des F______. L'expert nommé par le Tribunal ne disposait dès lors pas de l'indépendance nécessaire pour mener à bien sa mission, de sorte que sa récusation devait être prononcée, conformément à l'art. 47 al. 1 CPC.</w:t>
      </w:r>
    </w:p>
    <w:p>
      <w:r>
        <w:t>Ils ajoutent qu'ils subiraient un préjudice difficilement réparable s'ils devaient attendre que l'expertise soit diligentée pour en contester la qualité, car cela occasionnerait une perte de temps et d'argent considérable. Il convenait en outre d'éviter que l'enfant doive être examinée par deux experts successifs.</w:t>
      </w:r>
    </w:p>
    <w:p>
      <w:r>
        <w:t>1.1.1 Le recours est recevable contre les ordonnances d'instruction lorsque celles- ci peuvent causer un préjudice difficilement réparable (art. 319 let. b CPC). La notion de préjudice difficilement réparable au sens de cette disposition est plus large que celle de préjudice irréparable consacré par l'art. 93 al. 1 let. a LTF. Elle ne vise pas seulement un inconvénient de nature juridique, mais toute incidence dommageable, y compris financière ou temporelle, pourvu qu'elle soit difficilement réparable. L'instance supérieure devra se montrer exigeante, voire restrictive, avant d'admettre la réalisation de cette condition, sous peine d'ouvrir le recours à toute décision ou ordonnance d'instruction, ce que le législateur a</w:t>
      </w:r>
    </w:p>
    <w:p>
      <w:r>
        <w:t>- 4/6 -</w:t>
      </w:r>
    </w:p>
    <w:p>
      <w:r>
        <w:t>C/7184/2020 clairement exclu. Il s'agit de se prémunir contre le risque d'un prolongement sans fin du procès (COLOMBINI, Code de procédure civile, condensé de la jurisprudence fédérale et vaudoise, 2018, n. 4.1.3 ad art. 319 CPC; JEANDIN, Commentaire romand, n. 22 ad art. 319 CPC).</w:t>
      </w:r>
    </w:p>
    <w:p>
      <w:r>
        <w:t>Une simple prolongation de la procédure ou un accroissement des frais ne constitue pas un préjudice difficilement réparable (SPÜHLER, in Basler Kommentar, Schweizerische Zivilprozessordnung, n. 7 ad art. 319 CPC; HOFFMANN-NOWOTNY, ZPO-Rechtsmittel, Berufung und Beschwerde, n. 25 ad art. 319 CPC).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(ATF 141 III 80 consid. 1.2 et les arrêts cités).</w:t>
      </w:r>
    </w:p>
    <w:p>
      <w:r>
        <w:t>1.1.2 Selon l'art. 183 al. 2 CPC, les motifs de récusation des magistrats sont applicables aux experts.</w:t>
      </w:r>
    </w:p>
    <w:p>
      <w:r>
        <w:t>Toutes les dispositions en matières de récusation (art. 47 ss CPC) s'appliquent aux experts (HOFMANN /LÜSCHER, Le Code de procédure civile, Berne 2009, p. 95).</w:t>
      </w:r>
    </w:p>
    <w:p>
      <w:r>
        <w:t>Les motifs de récusation des experts sont prévus à l'art. 47 CPC.</w:t>
      </w:r>
    </w:p>
    <w:p>
      <w:r>
        <w:t>La partie qui entend obtenir la récusation d'un expert doit la demander au tribunal aussitôt qu'elle a eu connaissance du motif de récusation (art. 49 al. 1 CPC).</w:t>
      </w:r>
    </w:p>
    <w:p>
      <w:r>
        <w:t>Si le motif de récusation est contesté, le tribunal statue (art. 50 al. 1 CPC). Cette décision peut faire l'objet d'un recours (art. 50 al. 2 CPC).</w:t>
      </w:r>
    </w:p>
    <w:p>
      <w:r>
        <w:rPr>
          <w:b/>
        </w:rPr>
        <w:t>E. 1.2</w:t>
      </w:r>
    </w:p>
    <w:p>
      <w:r>
        <w:t>En l'espèce, la décision attaquée est une ordonnance d'instruction, de sorte que la recevabilité d'un recours immédiat contre celle-ci implique l'existence d'un préjudice difficilement réparable au sens de l'art. 319 let. b CPC.</w:t>
      </w:r>
    </w:p>
    <w:p>
      <w:r>
        <w:t>Cette condition n'est pas réalisée dans le cas particulier.</w:t>
      </w:r>
    </w:p>
    <w:p>
      <w:r>
        <w:t>En effet, les recourants ont déjà saisi le Tribunal d'une demande de récusation de l'expert désigné par l'ordonnance du 11 mars 2021, invoquant des motifs identiques à ceux qu'ils font valoir dans le cadre du présent recours.</w:t>
      </w:r>
    </w:p>
    <w:p>
      <w:r>
        <w:t>Lorsque le Tribunal aura statué sur leur requête, et à supposer qu'ils n'obtiennent pas satisfaction, les recourants pourront, si ils s'y estiment fondés, former le moment venu un recours contre cette décision, conformément à l'art. 50 al. 2 CPC.</w:t>
      </w:r>
    </w:p>
    <w:p>
      <w:r>
        <w:t>- 5/6 -</w:t>
      </w:r>
    </w:p>
    <w:p>
      <w:r>
        <w:t>C/7184/2020</w:t>
      </w:r>
    </w:p>
    <w:p>
      <w:r>
        <w:t>A cela s'ajoute que les recourants allèguent, au titre de préjudice difficilement réparable, un risque de prolongation de la procédure et un risque de préjudice financier.</w:t>
      </w:r>
    </w:p>
    <w:p>
      <w:r>
        <w:t>Or, il ne s'agit pas là en principe de préjudices difficilement réparables au sens de l'art. 319 let b CPC.</w:t>
      </w:r>
    </w:p>
    <w:p>
      <w:r>
        <w:t>Le présent recours, prématuré, est dès lors irrecevable.</w:t>
      </w:r>
    </w:p>
    <w:p>
      <w:r>
        <w:rPr>
          <w:b/>
        </w:rPr>
        <w:t>E. 2</w:t>
      </w:r>
    </w:p>
    <w:p>
      <w:r>
        <w:t>Les frais judiciaires de recours, arrêtés à 600 fr., et compensés avec l'avance de 1'000 fr. versée par les recourants, acquise à l'Etat de Genève à due concurrence, seront mis à charge de ceux-ci, qui succombent (art. 106 al. 1, 111 al. 1 CPC;</w:t>
      </w:r>
    </w:p>
    <w:p>
      <w:r>
        <w:rPr>
          <w:b/>
        </w:rPr>
        <w:t>E. 7</w:t>
      </w:r>
    </w:p>
    <w:p>
      <w:r>
        <w:t>et 41 RTFMC).</w:t>
      </w:r>
    </w:p>
    <w:p>
      <w:r>
        <w:t>Le solde de l'avance en 400 fr. leur sera restitué.</w:t>
      </w:r>
    </w:p>
    <w:p>
      <w:r>
        <w:t>Il ne sera pas alloué de dépens aux intimés qui n'en ont pas requis.</w:t>
      </w:r>
    </w:p>
    <w:p>
      <w:r>
        <w:t>* * * * *</w:t>
      </w:r>
    </w:p>
    <w:p>
      <w:r>
        <w:t>- 6/6 -</w:t>
      </w:r>
    </w:p>
    <w:p>
      <w:r>
        <w:t>C/7184/2020 PAR CES MOTIFS, La Chambre civile :</w:t>
      </w:r>
    </w:p>
    <w:p>
      <w:r>
        <w:t>Déclare irrecevable le recours interjeté par A______ et B______ et leurs enfants mineurs C______, D______ et E______ contre l'ordonnance ORTPI/255/2021 rendue le 11 mars 2021 par le Tribunal de première instance dans la cause C/7184/2020. Met à la charge des recourants les frais judiciaires de recours, arrêtés à 600 fr. et compensés avec l'avance versée, acquise à due concurrence à l'Etat de Genève. Invite les Services financiers du Pouvoir judiciaire à restituer aux recourants le solde en 400 fr. de l'avance de frais. Dit qu'il n'est pas alloué de dépens. Siégeant : Monsieur Laurent RIEBEN, président; Monsieur Patrick CHENAUX, Madame Fabienne GEISINGER-MARIETHOZ, juges; Madame Roxane DUCOMMUN,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