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ACJC/911/2013 vom 18. April 2013</w:t>
      </w:r>
    </w:p>
    <w:p>
      <w:r>
        <w:t>GE Cour de justice, 2013-04-18, FR</w:t>
      </w:r>
    </w:p>
    <w:p>
      <w:r>
        <w:rPr>
          <w:b/>
        </w:rPr>
        <w:t xml:space="preserve">Quelle: </w:t>
      </w:r>
      <w:r>
        <w:t>https://mcp.opencaselaw.ch/entscheid/ge_gerichte_ACJC_911_2013</w:t>
      </w:r>
    </w:p>
    <w:p>
      <w:r>
        <w:t>FR: GE_GERICHTE ACJC/911/2013 du 18 avril 2013</w:t>
      </w:r>
    </w:p>
    <w:p>
      <w:r>
        <w:t>IT: GE_GERICHTE ACJC/911/2013 del 18 aprile 2013</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A Genève, la Chambre civile de la Cour de justice est l'instance compétente pour connaître d'un recours (art. 120 al. 1 let. a LOJ).</w:t>
      </w:r>
    </w:p>
    <w:p>
      <w:r>
        <w:rPr>
          <w:b/>
        </w:rPr>
        <w:t>E. 1.2</w:t>
      </w:r>
    </w:p>
    <w:p>
      <w:r>
        <w:t>Interjeté dans le délai prévus par la loi, le présent recours est recevable à cet égard.</w:t>
      </w:r>
    </w:p>
    <w:p>
      <w:r>
        <w:rPr>
          <w:b/>
        </w:rPr>
        <w:t>E. 1.3</w:t>
      </w:r>
    </w:p>
    <w:p>
      <w:r>
        <w:t>Selon l'art. 321 al. 2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BOHNET/HALDY/ JEANDIN/SCHWEIZER/TAPPY, Code de procédure civile commenté, Bâle, 2011, n. 4 et 5 ad art. 321 CPC). Il incombe au recourant non seulement d'exposer son point de vue sur le litige, mais aussi d'indiquer en quoi les motifs retenus en première instance sont erronés (RETORNAZ, L'appel et le recours, in Procédure civile suisse, Neuchâtel 2010, ch. 173 et 174 p. 403). 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w:t>
      </w:r>
    </w:p>
    <w:p>
      <w:r>
        <w:t>- 4/7 -</w:t>
      </w:r>
    </w:p>
    <w:p>
      <w:r>
        <w:t>C/761/2013 irrecevable, étant rappelé cependant qu'il sied d'éviter tout excès de formalisme (dans ce sens, CHAIX, Introduction au recours de la nouvelle procédure fédérale, in SJ 2009 II p. 264 et 265 n. 13 et 14; RETORNAZ, op. cit., p. 403 n. 174). Une motivation succincte ou sommaire peut, suivant les circonstances, être suffisante (REETZ/THEILER, in SUTTER-SOMM/HASENBÖHLER/LEUENBERGER, Kommentar zur Schweizerischen Zivilprozessordnung [ZPO], 2013,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w:t>
      </w:r>
    </w:p>
    <w:p>
      <w:r>
        <w:rPr>
          <w:b/>
        </w:rPr>
        <w:t>E. 1.4</w:t>
      </w:r>
    </w:p>
    <w:p>
      <w:r>
        <w:t>Dans le cas d'espèce, le recours, rédigé par un justiciable agissant en personne, répond aux exigences de motivation précitées, interprétées avec indulgence. Bien que la recourante n'ait pas expressément mentionné de conclusions relatives à l'annulation de la décision de première instance, la Cour de céans comprend que la recourante sollicite la mise à néant du jugement entrepris et le prononcé de la mainlevée provisoire de l'opposition formée au commandement de payer.</w:t>
      </w:r>
    </w:p>
    <w:p>
      <w:r>
        <w:rPr>
          <w:b/>
        </w:rPr>
        <w:t>E. 1.5</w:t>
      </w:r>
    </w:p>
    <w:p>
      <w:r>
        <w:t>Le recours est ainsi recevable.</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 L'autorité de recours a un plein pouvoir d'examen en droit, mais un pouvoir limité à l'arbitraire en fait, n'examinant par ailleurs que les griefs formulés et motivés par le recourant (HOHL/DE PORET/BORTOLASO/AGUET, Procédure civile, Tome II, 2ème édition, Berne, 2010, n. 2307). L'autorité de recours n'est par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 BORTOLASO/AGUET, op. cit., n. 2513-2515).</w:t>
      </w:r>
    </w:p>
    <w:p>
      <w:r>
        <w:t>- 5/7 -</w:t>
      </w:r>
    </w:p>
    <w:p>
      <w:r>
        <w:t>C/761/2013 Par ailleurs,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t>Outre les pièces faisant d'ores et déjà parties de la procédure (jugement, procès- verbal et commandement de payer), ainsi que les extraits internet du Registre foncier, lesquels constituent des faits notoires (arrêt du Tribunal fédéral 5A_561/2011 du 19 mars 2012 consid. 5.3; ATF 135 III 88 consid. 4.1), les pièces nouvelles produites par la recourante sont irrecevables, ainsi que les allégués de fait s'y rapportant.</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w:t>
      </w:r>
    </w:p>
    <w:p>
      <w:r>
        <w:rPr>
          <w:b/>
        </w:rPr>
        <w:t>E. 3.2</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w:t>
      </w:r>
    </w:p>
    <w:p>
      <w:r>
        <w:t>- 6/7 -</w:t>
      </w:r>
    </w:p>
    <w:p>
      <w:r>
        <w:t>C/761/2013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12.10.2006 consid. 3.1.2; PANCHAUD/CAPREZ, La mainlevée d'opposition, 2ème édition, 1980, p. 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11.05.2012; ACJC/1211/1999 du 25.11.1999; JdT 1969 II 32).</w:t>
      </w:r>
    </w:p>
    <w:p>
      <w:r>
        <w:rPr>
          <w:b/>
        </w:rPr>
        <w:t>E. 3.3</w:t>
      </w:r>
    </w:p>
    <w:p>
      <w:r>
        <w:t>Dans le cas d'espèce, la recourante n'a produit, devant le premier juge, ni contrat, ni commande signés de l'intimée. Elle s'est bornée à joindre à sa requête de mainlevée deux factures et divers rappels adressés à l'intimée. Comme le premier juge l'a constaté, aucun de ces documents ne pouvait être assimilé à une reconnaissance de dette au sens défini par l'art. 82 LP, dès lors qu'ils émanaient tous de la créancière et ne comportaient aucune acceptation écrite et signée de l'intimée. Il sera rappelé à la recourante qu'elle peut agit par la voie d'une demande en paiement pour recouvrer sa créance alléguée, si elle s'y estime fondée.</w:t>
      </w:r>
    </w:p>
    <w:p>
      <w:r>
        <w:rPr>
          <w:b/>
        </w:rPr>
        <w:t>E. 3.4</w:t>
      </w:r>
    </w:p>
    <w:p>
      <w:r>
        <w:t>Le jugement ne prête en conséquence pas le flanc à la critique de sorte que le recours sera rejeté.</w:t>
      </w:r>
    </w:p>
    <w:p>
      <w:r>
        <w:rPr>
          <w:b/>
        </w:rPr>
        <w:t>E. 4</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300 fr. Partant, l'émolument de la présente décision sera fixé à 450 fr. et mis à la charge de la recourante, compensé avec l'avance de frais opérée par celle-ci, acquise à l'Etat par compensation (art. 111 CPC). L'intimée ayant comparu en personne et n'ayant pas répondu au recours, il ne se justifie pas de lui allouer de dépens (art. 95 al. 3 let. c CPC).</w:t>
      </w:r>
    </w:p>
    <w:p>
      <w:r>
        <w:rPr>
          <w:b/>
        </w:rPr>
        <w:t>E. 5</w:t>
      </w:r>
    </w:p>
    <w:p>
      <w:r>
        <w:t>La valeur litigieuse, au sens de l'art. 51 LTF, est inférieure à 30'000 fr. * * * * *</w:t>
      </w:r>
    </w:p>
    <w:p>
      <w:r>
        <w:t>- 7/7 -</w:t>
      </w:r>
    </w:p>
    <w:p>
      <w:r>
        <w:t>C/761/2013 PAR CES MOTIFS, La Chambre civile : A la forme : Déclare recevable le recours interjeté par A______ contre le jugement JTPI/5472/2013 rendu le 18 avril 2013 par le Tribunal de première instance dans la cause C/761/2013-JS SML. Déclare irrecevables les pièces nouvelles produites par A______ ainsi que les allégués de fait s'y rapportant. Au fond : Rejette ce recours. Déboute les parties de toutes autres conclusions. Sur les frais de recours : Arrête les frais judiciaires à 450 fr. compensés par l'avance de frais fournie par A______, acquise à l'Etat. Les met à charge de A______. Dit qu'il n'est pas alloué de dépens. Siégeant : Madame Sylvie DROIN, présidente; Monsieur Blaise PAGAN et Madame Nathalie LANDRY-BARTHE, juges; Madame Céline FERREIRA, greffière.</w:t>
      </w:r>
    </w:p>
    <w:p>
      <w:r>
        <w:t>La présidente : Sylvie DROIN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