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ACJC/905/2020 vom 26. Juni 2020</w:t>
      </w:r>
    </w:p>
    <w:p>
      <w:r>
        <w:t>GE Cour de justice, 2020-06-26, FR</w:t>
      </w:r>
    </w:p>
    <w:p>
      <w:r>
        <w:rPr>
          <w:b/>
        </w:rPr>
        <w:t xml:space="preserve">Quelle: </w:t>
      </w:r>
      <w:r>
        <w:t>https://mcp.opencaselaw.ch/entscheid/ge_gerichte_ACJC_905_2020</w:t>
      </w:r>
    </w:p>
    <w:p>
      <w:r>
        <w:t>FR: GE_GERICHTE ACJC/905/2020 du 26 juin 2020</w:t>
      </w:r>
    </w:p>
    <w:p>
      <w:r>
        <w:t>IT: GE_GERICHTE ACJC/905/2020 del 26 giugno 2020</w:t>
      </w:r>
    </w:p>
    <w:p>
      <w:pPr>
        <w:pStyle w:val="Heading2"/>
      </w:pPr>
      <w:r>
        <w:t>Erwägungen</w:t>
      </w:r>
    </w:p>
    <w:p>
      <w:r>
        <w:rPr>
          <w:b/>
        </w:rPr>
        <w:t>E. 1</w:t>
      </w:r>
    </w:p>
    <w:p>
      <w:r>
        <w:t>Saisie en première instance d'une requête en mesures provisionnelles, la Cour de justice doit en examiner la recevabilité d'office.</w:t>
      </w:r>
    </w:p>
    <w:p>
      <w:r>
        <w:rPr>
          <w:b/>
        </w:rPr>
        <w:t>E. 1.1</w:t>
      </w:r>
    </w:p>
    <w:p>
      <w:r>
        <w:t>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Selon l'art. 120 al. 1 LOJ, la chambre civile de la Cour de justice exerce les compétences que le CPC attribue à la juridiction cantonale unique. Le requérant allègue un préjudice de 136'220 fr. 95, de sorte que ses prétentions sont supérieures à 30'000 fr. La Cour est pour le surplus compétente pour examiner la violation de la protection de la personnalité, lorsque la prétention invoquée est fondée à la fois sur la LCD et sur l'art. 28 CC (ACJC/316/2016 du 09.03.2016 consid. 2.2). La Cour est par conséquent compétente ratione materiae pour examiner ces questions.</w:t>
      </w:r>
    </w:p>
    <w:p>
      <w:r>
        <w:rPr>
          <w:b/>
        </w:rPr>
        <w:t>E. 1.2</w:t>
      </w:r>
    </w:p>
    <w:p>
      <w:r>
        <w:t>A teneur de l'art. 36 CPC, les actions fondées sur un acte illicite peuvent être introduites au for du domicile ou du siège du défendeur. Les actes de concurrence déloyale sont des actes illicites (art. 2 LCD). Les actions défensives fondées sur la LCD, notamment, sont régies par la règle de l'art. 36 CPC (STEINAUER/FOUNTOULAKIS, Droit des personnes physiques et de la protection de l'adulte, 2014, n. 570b). Sauf disposition contraire de la loi, est impérativement compétent pour ordonner des mesures provisionnelles le tribunal compétent pour statuer sur l'action principale (art. 13 let. a CPC). En l'occurrence, le siège de la société anonyme, est à Genève. Il en va de même des autres défendeurs, également domiciliés à Genève. Par conséquent, le for pour les actions défensives sur mesures provisionnelles que le requérant a initiées contre les défendeurs se trouve à Genève.</w:t>
      </w:r>
    </w:p>
    <w:p>
      <w:r>
        <w:t>- 8/21 -</w:t>
      </w:r>
    </w:p>
    <w:p>
      <w:r>
        <w:t>C/5743/2020</w:t>
      </w:r>
    </w:p>
    <w:p>
      <w:r>
        <w:rPr>
          <w:b/>
        </w:rPr>
        <w:t>E. 1.3</w:t>
      </w:r>
    </w:p>
    <w:p>
      <w:r>
        <w:t>La requête est donc recevable. Il en va de même de la réponse (art. 222 CPC), ainsi que de la réplique et la duplique.</w:t>
      </w:r>
    </w:p>
    <w:p>
      <w:r>
        <w:rPr>
          <w:b/>
        </w:rPr>
        <w:t>E. 1.4</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w:t>
      </w:r>
    </w:p>
    <w:p>
      <w:r>
        <w:t>Les défendeurs contestent la qualité pour agir du demandeur, soutenant qu'il n'est à l'origine d'aucun concept novateur.</w:t>
      </w:r>
    </w:p>
    <w:p>
      <w:r>
        <w:rPr>
          <w:b/>
        </w:rPr>
        <w:t>E. 2.1</w:t>
      </w:r>
    </w:p>
    <w:p>
      <w:r>
        <w:t>Le succès de toute action en justice suppose que les parties demanderesse et défenderesse aient respectivement qualité pour agir et pour défendre au regard du droit applicable. Le défaut de la qualité pour agir ou pour défendre entraîne le rejet de l'action (ATF 136 III 365 consid. 2.1; 126 III 59 consid. 1a; 125 III 82 consid. 1a). Les actions en cessation de trouble prévues par l'art. 9 al. 1 et 2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(arrêts du Tribunal fédéral 4A_584/2017, 4A_590/2017 du 9 janvier 2019 consid. 8.1; 4A_39/2011 du 8 août 2011, consid. 13.1, sic! 2012 p. 109; FORNAGE, Loi contre la concurrence déloyale, Commentaire romand, 2017, nos 5 et 6 ad art. 9 LCD; DOMEJ, in UWG, 2018, n. 5 ad art. 9 LCD). La qualité pour agir (ou légitimation active) et la qualité pour défendre (ou légitimation passive) appartiennent aux conditions matérielles de la prétention litigieuse. Elles se déterminent selon le droit au fond et leur défaut conduit au rejet de l'action, qui intervient indépendamment de la réalisation des éléments objectifs de la prétention litigieuse (ATF 136 III 365 consid. 2.1; arrêt du Tribunal fédéral 5A_434/2011 du 31 mai 2012 consid. 2.2.1). La question de la qualité pour agir revient à savoir qui peut faire valoir une prétention en qualité de titulaire d'un droit, en son propre nom (ATF 125 III 82 consid. 1a; arrêt du Tribunal fédéral 9C_14/2010 du 21 mai 2010 consid. 3.1). Il appartient en principe au demandeur de prouver les faits desquels il tire sa qualité pour agir (ATF 130 III 417 consid. 3.1; 123 III 60 consid. 3a).</w:t>
      </w:r>
    </w:p>
    <w:p>
      <w:r>
        <w:rPr>
          <w:b/>
        </w:rPr>
        <w:t>E. 2.2</w:t>
      </w:r>
    </w:p>
    <w:p>
      <w:r>
        <w:t>En l'espèce, la qualité pour agir du demandeur peut souffrir de demeurer indécise, la requête étant quoiqu'il en soit infondée pour les raisons qui vont suivre.</w:t>
      </w:r>
    </w:p>
    <w:p>
      <w:r>
        <w:rPr>
          <w:b/>
        </w:rPr>
        <w:t>E. 2.3</w:t>
      </w:r>
    </w:p>
    <w:p>
      <w:r>
        <w:t>En revanche, la Cour constatera d'office que la société B______ SA ne dispose pas de la qualité pour défendre. En effet, les actes reprochés par le</w:t>
      </w:r>
    </w:p>
    <w:p>
      <w:r>
        <w:t>- 9/21 -</w:t>
      </w:r>
    </w:p>
    <w:p>
      <w:r>
        <w:t>C/5743/2020 demandeur concernent exclusivement C______ et D______, en tant qu'ils commettraient des actes de concurrence déloyale, voire d'atteintes à sa personnalité, à l'exclusion de la société elle-même. Le demandeur a d'ailleurs fondé la majeure partie de son argumentation sur le comportement des précités, soit en lien avec leurs activités dans le cadre de la société B______ SA et/ou H______, soit en tant qu'ils sont administrateurs de la société I______ SA.</w:t>
      </w:r>
    </w:p>
    <w:p>
      <w:r>
        <w:rPr>
          <w:b/>
        </w:rPr>
        <w:t>E. 3</w:t>
      </w:r>
    </w:p>
    <w:p>
      <w:r>
        <w:t>Le demandeur soutient que les défendeurs commettent à son encontre des actes de concurrence déloyale. En particulier, il se plaint d'une violation des art. 3 al. 1 let. a et b, 4 let. a et 5 let. c LCD.</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Code de procédure civile commenté,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w:t>
      </w:r>
    </w:p>
    <w:p>
      <w:r>
        <w:t>- 10/21 -</w:t>
      </w:r>
    </w:p>
    <w:p>
      <w:r>
        <w:t>C/5743/2020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dommage difficilement réparable de l'art. 261 al. 1 let. b CPC est principalement de nature factuelle; il concerne tout préjudice, patrimonial ou immatériel, et peut même résulter du seul écoulement du temps pendant le procès (HOHL, Procédure civile, Tome II, 2ème éd., 2010, n. 1763).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3.2</w:t>
      </w:r>
    </w:p>
    <w:p>
      <w:r>
        <w:t>La LCD ne revêt pas un caractère subsidiaire par rapport aux diverses lois qui protègent la propriété intellectuelle; son but est simplement différent (ATF 129 III 353 consid. 3.3; arrêts du Tribunal fédéral 4A_556/2016 du 19 septembre 2017 consid. 4.5;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Il en va de même face au droit du nom (art. 29 al. 2 CC; KUONEN, Commentaire romand LCD, 2017, n. 2 ad art. 3 al. 1 let. d LCD). Au sens de la LCD, le comportement de l'auteur s'apprécie de manière objective. Dès lors, tout argument selon lequel l'auteur aurait agi de bonne foi doit être écarté d'emblée (ATF 126 III 198 consid. 2c; 120 II 76 consid. 3a; PICHONNAZ, Commentaire romand LCD, 2017, n. 68 ad art. 2 LCD).</w:t>
      </w:r>
    </w:p>
    <w:p>
      <w:r>
        <w:t>- 11/21 -</w:t>
      </w:r>
    </w:p>
    <w:p>
      <w:r>
        <w:t>C/5743/2020 Est déloyal et illicite tout comportement ou pratique commercial qui est trompeur ou qui contrevient de toute autre manière aux règles de la bonne foi et qui influe sur les rapports entre concurrents ou entre fournisseurs et clients (art. 2 LCD).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p. 202). La règle générale exprimée à l'art. 2 LCD est concrétisée par les cas particuliers énoncés aux art. 3 à 8 LCD, mais elle reste applicable pour les hypothèses que ces dispositions ne viseraient pas (ATF 132 III 414 consid. 3.1; 131 III 384 consid. 3; arrêt du Tribunal fédéral 4A_689/2012 du 24 avril 2013 consid. 2.4). L'action en concurrence déloyale vise un défendeur qui a un comportement propre à fausser la concurrence ou à nuire à son caractère loyal (cf. art. 1 et 2 LCD). Elle a pour but de protéger, par exemple, contre une confusion évitable quant à la provenance des produits, contre un risque de confusion, un comportement astucieux ou un rapprochement systématique (ATF 136 III 232 consid. 7.2; 131 III 384 consid. 5.1; arrêt du Tribunal fédéral 4A_556/2016 du 19 septembre 2017 consid. 3.2.1; PICHONNAZ, op. cit., n. 20 ad art. 2 LCD et les références citées). Le droit de la concurrence déloyale ne contient aucune interdiction générale de copier les prestations d'autrui, car le principe est qu'on peut librement copier (ATF 131 III 384 consid. 5.1, JdT 2005 I 434, p. 442).</w:t>
      </w:r>
    </w:p>
    <w:p>
      <w:r>
        <w:rPr>
          <w:b/>
        </w:rPr>
        <w:t>E. 3.3</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w:t>
      </w:r>
    </w:p>
    <w:p>
      <w:r>
        <w:rPr>
          <w:b/>
        </w:rPr>
        <w:t>E. 3.4</w:t>
      </w:r>
    </w:p>
    <w:p>
      <w:r>
        <w:t>Selon l'art. 3 al. 1 LCD, agit de façon déloyale notamment celui qui dénigre autrui, ses prestations, ses prix ou ses affaires par des allégations inexactes, fallacieuses et inutilement blessantes (let. a), ou qui donne des indications inexactes ou fallacieuses sur lui-même, son entreprise, sa raison de commerce, ses marchandises, ses prestations, ses prix, ses méthodes de vente ou ses affaires ou qui, par de telles allégations, avantage des tiers par rapport à leurs concurrents (let. b). Le terme "dénigrer" au sens de la let. a signifie s'efforcer de noircir, de faire mépriser (quelqu'un ou quelque chose) en attaquant, en niant ses qualités. Tout propos négatif ne suffit toutefois pas; il doit revêtir un certain degré de gravité (arrêt du Tribunal fédéral 4C_169/2006 du 16 mai 2007 consid. 6). L'image négative doit être pertinente du point de vue de la concurrence, en ce sens qu'elle</w:t>
      </w:r>
    </w:p>
    <w:p>
      <w:r>
        <w:t>- 12/21 -</w:t>
      </w:r>
    </w:p>
    <w:p>
      <w:r>
        <w:t>C/5743/2020 doit être dirigée contre le jeu normal de cette dernière et propre à influencer le marché (KUONEN, op. cit., n. 1 ad art. 3 al. 1 let. a LCD et les réf. citées). A l'inverse, la let. b vise l'induction en erreur par la sur-appréciation de la personne ou des prestations d'un concurrent. La tromperie constitue une forme qualifiée de l'induction en erreur; il n'existe cependant entre les deux qu'une différence d'intensité : alors que la première viole le principe de vérité, la seconde viole le principe de clarté. Les allégations qui induisent en erreur doivent être de nature à affecter la liberté de décision du client (KUONEN, op. cit., 2017, n. 1 à 3 ad art. 3 al. 1 let. b LCD et les réf. citées). L'induction en erreur doit être atteinte par l'énoncé de propos soit inexacts, soit fallacieux (KUONEN, op. cit., n. 27 ad art. 3 al. 1 let. b LCD).</w:t>
      </w:r>
    </w:p>
    <w:p>
      <w:r>
        <w:rPr>
          <w:b/>
        </w:rPr>
        <w:t>E. 3.5</w:t>
      </w:r>
    </w:p>
    <w:p>
      <w:r>
        <w:t>Selon l'art. 4 let. a LCD, agit également de façon déloyale celui qui incite un client à rompre un contrat en vue d'en conclure un autre avec lui. La rupture de contrat au sens de cette disposition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 liant à son fournisseur sans respecter le délai de congé, alors qu'il ne bénéficie d'aucun motif propre à fonder une résiliation anticipée (MORIN/OPPLIGER, Loi contre la concurrence déloyale, Commentaire romand, 2017, n. 28 ad art. 4 LCD et les réf. citées). L'incitation suppose une certaine intensité : la simple prise de contact avec un partenaire contractuel ne constitue pas encore une incitation (ATF 114 II 91, JT 1988 I 310). On ne peut toutefois parler de rupture de contrat au sens de cette disposition que lorsqu'un contrat est violé (ATF 133 III 431 consid. 4.5; 129 II 497 consid. 6.5.6). La notion de client s'entend également largement : elle ne vise pas seulement les consommateurs, mais aussi tous les bénéficiaires de services ou de marchandises ou de services qui se trouvent aux échelons économiques précédents et qui constituent à ce titre des cocontractants potentiels du perturbateur (MORIN/OPPLIGER, op. cit., n. 24 ad art. 4 LCD et les réf. citées).</w:t>
      </w:r>
    </w:p>
    <w:p>
      <w:r>
        <w:rPr>
          <w:b/>
        </w:rPr>
        <w:t>E. 3.6</w:t>
      </w:r>
    </w:p>
    <w:p>
      <w:r>
        <w:t>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w:t>
      </w:r>
    </w:p>
    <w:p>
      <w:r>
        <w:t>- 13/21 -</w:t>
      </w:r>
    </w:p>
    <w:p>
      <w:r>
        <w:t>C/5743/2020 peuvent être exploités par quiconque. Le droit de la concurrence déloyale ne contient aucune interdiction générale de copier les prestations d'autrui, car le principe est qu'on peut librement copier (ATF 139 IV 17 consid. 1.3; 131 III 384 consid. 5.1; 118 II 459 c. 3b/bb; 117 II 199 c. 2a/ee; arrêts du Tribunal fédéral 4A_78/2011 du 2 mai 2011 consid. 4.1; 4A_86/2009 du 26 mai 2009 consid. 4.1, non publié in ATF 135 III 446; JECKLIN, Leistungsschutz im UWG?, 2003, p. 33, 96 et 103; BAUDENBACHER, Lauterkeitsrecht, 2001, n. 193 ad art. 2 et n. 6 ad art. 5 LCD).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(BAUDENBACHER, op. cit., n. 46 ad art. 5 LCD; TROLLER, Manuel du droit suisse des biens immatériels, 2e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1.4; 131 III 384 consid. 5.2; TROLLER, op. cit., p. 978 s.; STEULI-YOUSSEF, Unlautere Werbe- und Verkaufsmethoden [art. 3 UWG], in Lauterkeitsrecht, SIWR vol. V/1, 2e éd. 1998, p. 173). Pour que l'art. 5 let. c LCD s'applique, il faut un produit qui soit matérialisé. Sont ainsi exclus du champ d'application de cette disposition les idées, méthodes ou procédés (139 IV 17 consid. 1.4; Message du 18 mai 1983 à l'appui d'une loi fédérale contre la concurrence déloyale [LCD], FF 1983 1104 ch. 241.5; GUYET, Die weiteren Spezialklauseln [art. 4-8 UWG], in Lauterkeitsrecht, SIWR vol. V/1, 2e éd. 1998, p. 215). La notion de "résultat du travail" doit être comprise de manière large (DAVID/JACOBS, Schweizerisches Wettbewerbsrecht, 5e éd. 2012, n. 359 p. 120; BRAUCHBAR BIRKHAÜSER, op. cit., n. 23 ad art. 5 LCD). Elle recouvre des choses corporelles, comme un objet en plastique ou un livre, mais également incorporelles, comme des émissions de radio ou télévision ou des représentations d'oeuvres musicales (JECKLIN, op. cit., p. 120; FIECHTER, Der Leistungsschutz nach Art. 5 lit. c UWG, 1992, p. 148; PERRET, La protection des prestations, in La nouvelle loi contre la concurrence déloyale, 1988, p. 50; HILTI, Wettbewerbsrechtlicher Leistungsschutz statt Nachbarrechte, 1987, p. 101). Le produit doit en outre être "prêt à être mis sur le marché", à savoir qu'il peut être exploité de manière industrielle ou commerciale (GUYET, op. cit., p. 215; FIECHTER, op. cit., p. 148). L'art. 5 let. c LCD définit le caractère déloyal de l'exploitation des prestations d'autrui en se référant à la manière dont la reprise a lieu. Un procédé sera illicite</w:t>
      </w:r>
    </w:p>
    <w:p>
      <w:r>
        <w:t>- 14/21 -</w:t>
      </w:r>
    </w:p>
    <w:p>
      <w:r>
        <w:t>C/5743/2020 s'il vise non à copier le produit d'un concurrent ou à le fabriquer en utilisant d'autres connaissances, mais à reprendre le produit sans aucun investissement pour l'adapter (ATF 131 III 384 consid. 4.1).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consid. 1.5; DAVID/JACOBS, op. cit., n. 361 p. 121; BRAUCHBAR BIRKHAÜSER, op. cit., n. 33 ad art. 5 LCD; PEDRAZZINI/PEDRAZZINI, Unlauterer Wettbewerb UWG, 2e éd. 2002, n. 9.28 p. 196 s.; BAUDENBACHER, op. cit., n. 49 ad art. 5 LCD; FIECHTER, op. cit., p. 151). L'art. 5 let. c LCD traite de reproduction et non d'imitation (BAUDENBACHER, op. cit., n. 43 ad art. 5 LCD). La reproduction suppose que le produit final découle organiquement du produit original, qui en constitue la souche. A l'inverse, l'imitation suppose uniquement la reprise d'une idée ou de connaissance et non d'un produit tel quel, laquelle permet de recréer par mimétisme le produit original (ATF 139 IV 17 consid. 1.5; NUSSBAUMER, Commentaire romand, LCD, n. 68 ad art. 5 LCD). Il est ainsi permis de s'inspirer, même de façon servile, des résultats non protégés du travail d'autrui pour réaliser et fabriquer les mêmes objets; par contre, il est interdit de reproduire ces objets par des moyens techniques de reprise sans effectuer les étapes successives qu'a dû franchir le premier production (TROLLER, op. cit., p. 366 s; NUSSBAUMER, op. cit., n. 69 ad art. 5 LCD). Dans la mesure où le droit de la concurrence déloyale prohibant l'exploitation ou la reprise immédiate de la prestation d'autrui ne protège pas la prestation elle- même, il convient toujours de comparer les frais concrets et objectivement nécessaires du demandeur et ceux économisés par le défendeur (cf. HILTI, op. cit., p. 102 s.).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consid. 1.6; 134 III 166 consid. 4.2 et 4.3).</w:t>
      </w:r>
    </w:p>
    <w:p>
      <w:r>
        <w:rPr>
          <w:b/>
        </w:rPr>
        <w:t>E. 3.7</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143 III 519 consid. 5.1 et les références citées).</w:t>
      </w:r>
    </w:p>
    <w:p>
      <w:r>
        <w:t>- 15/21 -</w:t>
      </w:r>
    </w:p>
    <w:p>
      <w:r>
        <w:t>C/5743/2020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w:t>
      </w:r>
    </w:p>
    <w:p>
      <w:r>
        <w:rPr>
          <w:b/>
        </w:rPr>
        <w:t>E. 3.8</w:t>
      </w:r>
    </w:p>
    <w:p>
      <w:r>
        <w:t>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ATF 121 III 368 consid. 3 et 4). Dans une telle hypothèse, pour engager la société, plusieurs représentants autorisés doivent agir ensemble, en apposant collectivement leur signature (arrêt du Tribunal fédéral 9C_446/2014 du 2 septembre 2014 consid. 3.1; PETER/ CAVADINI, Commentaire romand CO II, 2008, n. 21 ad art. 718a CO). Le nom des personnes habilitées à représenter la société doit être inscrit au Registre du commerce (art. 720 CO et 45 al. 1 let. o ORC). L'assemblée générale des actionnaires est le pouvoir suprême de la société (art. 698 al. 1 CO). Elle a notamment le droit intransmissible d'adopter et de modifier les statuts, de nommer les membres du conseil d'administration et de leur donner décharge et d'approuver le rapport annuel et les comptes (art. 698 al. 2 CO).</w:t>
      </w:r>
    </w:p>
    <w:p>
      <w:r>
        <w:rPr>
          <w:b/>
        </w:rPr>
        <w:t>E. 3.9</w:t>
      </w:r>
    </w:p>
    <w:p>
      <w:r>
        <w:t>En l'espèce, le demandeur allègue que les défendeurs auraient élaboré "un stratagème consistant à s'approprier [son] concept novateur de publicité/livraison sur des vélos électriques, de le mettre ensuite à la porte des locaux, de supprimer ses accès au compte bancaire de la société I______ SA et enfin de s'accaparer les actifs et la clientèle de la société". Il était ainsi "dépossédé, non seulement de son lieu de travail, mais également des outils lui permettant de mener à bien son activité".</w:t>
      </w:r>
    </w:p>
    <w:p>
      <w:r>
        <w:rPr>
          <w:b/>
        </w:rPr>
        <w:t>E. 3.9.1</w:t>
      </w:r>
    </w:p>
    <w:p>
      <w:r>
        <w:t>En ce qui concerne l'art. 3 al. 1 let a LCD, soit le dénigrement des prestations d'autrui, il ne résulte pas des pièces versées à la procédure que les défendeurs auraient noirci ou méprisé le demandeur en niant ses qualités. Les indications fournies par ces derniers, en particulier à la société K______ LTD, sont exactes en tant qu'elles font état de ce que le demandeur n'avait pas les pouvoirs d'engager la société et qu'il ne faisait plus partie de celle-ci. En effet, au regard des dispositions concernant la société anonyme rappelés ci-avant, seules les personnes inscrites au Registre du commerce ont pouvoir d'engager la SA. Si, pendant un certain temps, le demandeur a œuvré dans le cadre des activités de I______ SA, il ne ressort pas de la procédure si son intervention relevait d'un rapport de travail, de mandat ou d'associé de la société. Les allégations du</w:t>
      </w:r>
    </w:p>
    <w:p>
      <w:r>
        <w:t>- 16/21 -</w:t>
      </w:r>
    </w:p>
    <w:p>
      <w:r>
        <w:t>C/5743/2020 demandeur sont par ailleurs confuses, dès lors que la promesse d'engagement dont il a fait état a été signée par la société B______ SA, et non par I______ SA, promesse annulée le 17 décembre 2019 par la première nommée. Il résulte également des titres produits que les ex-associés n'ont pas concrétisé, par un contrat écrit, leurs relations contractuelles et le cadre de celles-ci. Au surplus, les qualités du demandeur n'ont pas été remises en cause par les défendeurs. Le demandeur confond manifestement sa qualité d'actionnaire majoritaire de I______ SA, laquelle lui confère certains droits liés à cette qualité, mais pas celle d'engager la société vis-à-vis des tiers. Par ailleurs, ses allégations concernant l'appropriation par les défendeurs des actifs de la société I______ SA ne constitue pas un acte de concurrence déloyale. Enfin, le fait que les défendeurs aient indiqué que le demandeur était un fauteur de trouble ne constitue pas non plus un acte de concurrence déloyale. Il ne s'agit en tout état pas d'une allégation qui revêt le caractère de gravité suffisant au sens de la jurisprudence rappelée ci-dessus.</w:t>
      </w:r>
    </w:p>
    <w:p>
      <w:r>
        <w:t>Dès lors, le demandeur n'a pas rendu vraisemblable une violation de l'art. 3 al. 1 let. a LCD.</w:t>
      </w:r>
    </w:p>
    <w:p>
      <w:r>
        <w:rPr>
          <w:b/>
        </w:rPr>
        <w:t>E. 3.9.2</w:t>
      </w:r>
    </w:p>
    <w:p>
      <w:r>
        <w:t>Concernant l'art. 3 al. 1 let. b LCD, le demandeur n'explicite pas quelle tromperie spécifique serait reprochée aux défendeurs. En particulier, il n'est pas fait état de ce que les défendeurs donneraient des indications inexactes ou fallacieuses sur eux-mêmes, leur entreprise ou leurs marchandises.</w:t>
      </w:r>
    </w:p>
    <w:p>
      <w:r>
        <w:t>En tout état, l'allégation selon laquelle l'argumentaire de vente figurant sur le site internet de la société I______ SA aurait été repris par les défendeurs sur le site internet de H______ ne représente pas des indications inexactes ou fallacieuses.</w:t>
      </w:r>
    </w:p>
    <w:p>
      <w:r>
        <w:t>La violation de l'art. 3 al. 1 let. b LCD n'est ainsi pas non plus rendue vraisemblable.</w:t>
      </w:r>
    </w:p>
    <w:p>
      <w:r>
        <w:rPr>
          <w:b/>
        </w:rPr>
        <w:t>E. 3.9.3</w:t>
      </w:r>
    </w:p>
    <w:p>
      <w:r>
        <w:t>S'agissant de l'alléguée attitude déloyale des défendeurs visant à inciter les clients à rompre leur contrat, elle n'est corroborée par aucun élément de la procédure. Le demandeur n'a d'ailleurs pas soutenu que des clients auraient mis fin au contrat les liant à la société I______ SA sans respecter le délai de congé pour conclure un contrat avec B______ SA.</w:t>
      </w:r>
    </w:p>
    <w:p>
      <w:r>
        <w:t>Il résulte d'ailleurs de l'échange de courriers électroniques intervenu entre le demandeur et G______ début mars 2020 que ce dernier a décidé de confier sa campagne publicitaire à H______ dès lors qu'il n'avait reçu aucune offre du demandeur, alors que sa situation était urgente, la campagne qu'il souhaitait faire devant débuter en avril 2020.</w:t>
      </w:r>
    </w:p>
    <w:p>
      <w:r>
        <w:t>- 17/21 -</w:t>
      </w:r>
    </w:p>
    <w:p>
      <w:r>
        <w:t>C/5743/2020</w:t>
      </w:r>
    </w:p>
    <w:p>
      <w:r>
        <w:t>Les titres versés ne rendent pas non plus vraisemblables que les défendeurs auraient incité un fournisseur du demandeur à rompre un contrat conclu avec ce dernier. Si l'un des défendeurs a certes pris contact avec le fournisseur - depuis 2018 du demandeur - de vélos électriques, il n'a pas incité ledit fournisseur à mettre un terme à un quelconque contrat. Il n'a en définitive requis que la possibilité d'acquérir deux nouveaux vélos, alors qu'il avait déjà acheté cinq vélos en automne 2019 et réglé le prix de ceux-ci.</w:t>
      </w:r>
    </w:p>
    <w:p>
      <w:r>
        <w:t>Aucune violation de l'art. 4 let. a LCD ne peut être reprochée aux défendeurs.</w:t>
      </w:r>
    </w:p>
    <w:p>
      <w:r>
        <w:rPr>
          <w:b/>
        </w:rPr>
        <w:t>E. 3.9.4</w:t>
      </w:r>
    </w:p>
    <w:p>
      <w:r>
        <w:t>Concernant l'art. 5 let. c LCD, il n'est pas non plus rendu vraisemblable que les défendeurs aient procédé à des reproductions au moyen de procédés techniques, aucun support matériel n'ayant été allégué. Par ailleurs, le demandeur n'est pas un tiers, dès lors qu'il entretenait avec les défendeurs une relation contractuelle, dont la qualification ne peut être définie ici. De plus, il ne s'agit pas du résultat d'un travail prêt à être mis sur le marché. Au surplus, l'allégué d'appropriation du "concept novateur" de publicité au moyen de vélos électriques n'est pas rendu vraisemblable. En effet, il est douteux que des campagnes publicitaires au moyen de vélos électriques LED puissent revêtir cette qualité. De plus, les défendeurs ont rendu vraisemblable qu'ils effectuaient, avec leur société B______ SA, avant de devenir partenaires du demandeur, des livraisons de marchandises commandées par des clients au moyen de vélos électriques. L'éventuelle nouveauté ne pourrait en tout état que concerner les campagnes publicitaires faite au moyen desdits vélos, ce qui n'est pas démontré. Enfin, il apparaît également douteux que l'allégation selon laquelle les défendeurs auraient repris l'"argumentaire" de présentation d'une société et/ou des activités effectuées par celle-ci soit considérée comme étant propre à fausser la concurrence ou à nuire à son caractère loyal. En tout état, à la lecture des "points forts" F______ (pièce 7) et de la description de H______ (pièce 33), les arguments de vente ne sont pas identiques. Cette dernière met en effet en avant la possibilité de promouvoir la marque des clients partout et à tout moment, alors que la première nommée axe son argumentaire sur la visibilité accrue, grâce aux vélos électriques, et la démultiplication des contacts, par des parcours optimisés au cœur des zones piétonnes.</w:t>
      </w:r>
    </w:p>
    <w:p>
      <w:r>
        <w:rPr>
          <w:b/>
        </w:rPr>
        <w:t>E. 3.9.5</w:t>
      </w:r>
    </w:p>
    <w:p>
      <w:r>
        <w:t>Au surplus, le demandeur n'a pas rendu vraisemblable que les défendeurs adopteraient un comportement commercial ou une pratique commerciale trompeuse qui influerait sur les rapports entre concurrents ou entre fournisseurs et clients. Comme retenu ci-avant, il n'est pas démontré que le demandeur ait créé un quelconque concept novateur.</w:t>
      </w:r>
    </w:p>
    <w:p>
      <w:r>
        <w:t>- 18/21 -</w:t>
      </w:r>
    </w:p>
    <w:p>
      <w:r>
        <w:t>C/5743/2020 Par ailleurs, le site internet dont se prévaut le demandeur, soit www.F______.com n'est plus en activité, de sorte qu'il ne peut être retenu aucune influence sur les rapports entre concurrents. De plus, les vélos ont été acquis par les défendeurs et réglés au moyen de leurs deniers personnels, de sorte qu'il n'est pas non plus rendu vraisemblable que lesdits vélos appartiennent à la société I______ SA. Enfin, comme retenu supra, les fournisseurs ne sont pas induits en erreur dans la mesure où le demandeur n'avait pas les pouvoirs d'engager la société I______ SA et que les rapports contractuels entre le demandeur et les défendeurs ont pris fin. Derechef, le demandeur se méprend sur les droits qui lui sont conférés par son actionnariat majoritaire et la représentation de la société vis-à-vis des tiers.</w:t>
      </w:r>
    </w:p>
    <w:p>
      <w:r>
        <w:rPr>
          <w:b/>
        </w:rPr>
        <w:t>E. 3.9.6</w:t>
      </w:r>
    </w:p>
    <w:p>
      <w:r>
        <w:t>Au vu de l'ensemble des considérations qui précèdent, aucun acte de concurrence déloyale n'est rendu vraisemblable, de sorte que la requête de mesures provisionnelles formée par le demandeur sera rejetée, sans que les autres conditions nécessaires à son prononcé soient examinées.</w:t>
      </w:r>
    </w:p>
    <w:p>
      <w:r>
        <w:rPr>
          <w:b/>
        </w:rPr>
        <w:t>E. 4</w:t>
      </w:r>
    </w:p>
    <w:p>
      <w:r>
        <w:t>Le demandeur soutient pour le surplus que les défendeurs ont commis une atteinte à sa personnalité.</w:t>
      </w:r>
    </w:p>
    <w:p>
      <w:r>
        <w:rPr>
          <w:b/>
        </w:rPr>
        <w:t>E. 4.1</w:t>
      </w:r>
    </w:p>
    <w:p>
      <w:r>
        <w:t>Celui qui subit une atteinte illicite à sa personnalité peut agir en justice pour sa protection contre toute personne qui y participe (art. 28 al. 1 CC). L'art. 28a al. 1 CC prévoit que le demandeur peut requérir le juge d'interdire une atteinte illicite, si elle est imminente (ch. 1), de la faire cesser, si elle dure encore (ch. 2) et d'en constater le caractère illicite, si le trouble qu'elle a créé subsiste (ch. 3). La garantie de l'art. 28 CC s'étend à l'ensemble des valeurs essentielles de la personne qui lui sont propres par sa seule existence et qui peuvent faire l'objet d'une atteinte; elle englobe notamment le droit à l'honneur, à la considération professionnelle et sociale (ATF 134 III 193 consid. 4.5; 127 III 481 consid. 2b/aa).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 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w:t>
      </w:r>
    </w:p>
    <w:p>
      <w:r>
        <w:t>- 19/21 -</w:t>
      </w:r>
    </w:p>
    <w:p>
      <w:r>
        <w:t>C/5743/2020 propre à entacher une réputation, il faut utiliser des critères objectifs et se placer du point de vue du citoyen moyen, en tenant compte des circonstances, en particulier du contexte dans lequel la déclaration a été émise (ATF 134 III 193 consid. 4.5129 III 49 consid. 2.2; 127 III 481 consid. 2b/aa; 126 III 209 consid. 3a in fine). L'«atteinte» au sens de l'art. 28 al. 1 CC est réalisée par tout comportement humain, tout acte de tiers, qui cause de quelconque manière un trouble aux biens de la personnalité d'autrui en violation des droits qui la protègent (ATF 120 II 369 consid. 2 p. 371). La garantie de l'art. 28 CC s'étend à l'ensemble des valeurs essentielles de la personne qui lui sont propres par sa seule existence et qui peuvent faire l'objet d'une atteinte; elle est plus étendue qu'en droit pénal puisqu'elle englobe notamment le droit à l'honneur, à la considération professionnelle, économique et sociale. Pour déterminer s'il y a atteinte à l'honneur, il convient de se référer au cercle de personnes dont l'estime est importante du point de vue du lésé (ATF 134 III 193 consid. 4.5 et 127 III 481 consid. 2b/aa; arrêts du Tribunal fédéral 5A_605/2007 du 4 décembre 2008 consid. 2.1; 4A_313/2008 du 27 novembre 2008 consid. 4.2.1). Une atteinte est illicite, à moins qu'elle ne soit justifiée par le consentement de la victime, par un intérêt prépondérant privé ou public, ou par la loi (art. 28 al. 2 CC). L'atteinte résultant de faits inexacts n'est en principe jamais licite (ATF 132 III 645 consid. 3.2; arrêt du Tribunal fédéral 5A_641/2011 du 23 février 2012 consid. 7.2.2.1). En outre, une atteinte n'est en aucun cas licite du seul fait que l'auteur croyait de bonne foi que ses informations étaient exactes (ATF 126 III 209 consid 3a). Les normes générales de protection de la personnalité sont de natures subsidiaires par rapport aux normes spéciales, telles celles de la LCD. Le fait qu'un comportement tombe sous le coup de la LCD n'empêche pas la victime d'actionner l'auteur sur la base de l'art. 28a CC. Les dispositions générales de protection de la personnalité et la réglementation spéciale de la LCD ne s'excluent pas (arrêt du Tribunal fédéral 5A_376/2013 du 29 octobre 2013 consid. 2.1). Concernant la protection générale de la personnalité, et non pas prise uniquement sous l'angle de l'épanouissement économique de l'intéressé, il sied de se référer aux développements ci-dessus consacrés à l'art. 3 al. 1 let. a LCD puisque, pour l'essentiel, l'usage de la liberté économique est protégé par la LCD, d'une part, et par la législation en matière de cartels, d'autre part, et que l'usage de l'art. 3 al. 1 let. a LCD n'est en réalité qu'un cas d'application de l'art. 28 al. 1 CC (arrêt du Tribunal fédéral 4C_295/2005 du 15 décembre 2005 consid. 5.1).</w:t>
      </w:r>
    </w:p>
    <w:p>
      <w:r>
        <w:rPr>
          <w:b/>
        </w:rPr>
        <w:t>E. 4.2</w:t>
      </w:r>
    </w:p>
    <w:p>
      <w:r>
        <w:t>Selon Le Grand Robert de la langue française, un fauteur de trouble est un provocateur ou un suscitateur.</w:t>
      </w:r>
    </w:p>
    <w:p>
      <w:r>
        <w:t>- 20/21 -</w:t>
      </w:r>
    </w:p>
    <w:p>
      <w:r>
        <w:t>C/5743/2020</w:t>
      </w:r>
    </w:p>
    <w:p>
      <w:r>
        <w:rPr>
          <w:b/>
        </w:rPr>
        <w:t>E. 4.3</w:t>
      </w:r>
    </w:p>
    <w:p>
      <w:r>
        <w:t>Pour l'essentiel, le demandeur reprend son argumentation relative à son statut d'actionnaire majoritaire de I______ SA. Il est toutefois constant que le demandeur n'a jamais été inscrit au Registre du commerce en tant qu'administrateur ou directeur. Conformément aux règles rappelés supra, seules les personnes inscrites audit Registre ont pouvoir d'engager la société vis-à-vis des tiers. Les rapports contractuels entre le demandeur et les défendeurs ont pris fin. Il s'ensuit que les indications fournies par les défendeurs apparaissent correctes.</w:t>
      </w:r>
    </w:p>
    <w:p>
      <w:r>
        <w:t>Il n'est pas rendu vraisemblable que les défendeurs auraient noirci ou méprisé le demandeur. S'il est certes maladroit que les défendeurs aient indiqué à l'un des fournisseurs du demandeur qu'il était un fauteur de trouble, ce propos isolé ne semble pas constituer une atteinte à l'honneur, ce que le demandeur ne soutient au demeurant pas. Aucune atteinte à la réputation professionnelle et économique du demandeur n'a dès lors été rendue vraisemblable.</w:t>
      </w:r>
    </w:p>
    <w:p>
      <w:r>
        <w:t>La requête de mesures provisionnelles sera dès lors également rejetée sous cet angle.</w:t>
      </w:r>
    </w:p>
    <w:p>
      <w:r>
        <w:rPr>
          <w:b/>
        </w:rPr>
        <w:t>E. 5</w:t>
      </w:r>
    </w:p>
    <w:p>
      <w:r>
        <w:t>Les frais judiciaires, comprenant les frais relatifs à la décision rendue sur mesures superprovisionnelles, seront arrêtés à 6'500 fr. (art. 95 al. 1 let. a, art. 96 CPC, art. 13 et 26 du Règlement fixant le tarif des frais en matière civile, RTFMC) et mis à la charge du demandeur, qui succombe (art. 106 al. 1 CPC). Le demandeur plaidant au bénéfice de l'assistance juridique, ces frais seront provisoirement pris en charge par l'Etat de Genève, qui pourra en demander le remboursement ultérieurement (art. 122 al. 1 let. b et 123 CPC; art. 19 du Règlement sur l'assistance juridique et l'indemnisation des conseils juridiques et défenseurs d'office en matière civile, administrative et pénale [RAJ - RS/GE E 2 05.04]). Le demandeur sera en outre condamné à verser aux défendeurs, pris conjointement, la somme de 4'000 fr. à titre de dépens, dès lors qu'ils ont répondu à la requête par une commune écriture de 16 pages, ont produit des pièces et ont encore déposé une duplique (art. 84 ss RTFMC; art. 95 al. 3 let. b CPC).</w:t>
      </w:r>
    </w:p>
    <w:p>
      <w:r>
        <w:rPr>
          <w:b/>
        </w:rPr>
        <w:t>E. 6</w:t>
      </w:r>
    </w:p>
    <w:p>
      <w:r>
        <w:t>Le présent arrêt, qui statue sur mesures provisionnelles, est susceptible d'un recours en matière civile, les moyens étant limités en application de l'art. 98 LTF. * * * * *</w:t>
      </w:r>
    </w:p>
    <w:p>
      <w:r>
        <w:t>- 21/21 -</w:t>
      </w:r>
    </w:p>
    <w:p>
      <w:r>
        <w:t>C/5743/2020 PAR CES MOTIFS, La Chambre civile : Statuant sur requête de mesures provisionnelles en instance unique : A la forme : Déclare recevable la requête de mesures provisionnelles formée le 26 mars 2020 par A______ à l'encontre de B______ SA, C______ et D______. Au fond : Déboute A______ de toutes ses conclusions. Déboute les parties de toutes autres conclusions. Sur les frais : Arrête les frais judiciaires à 6'500 fr., les met à la charge de A______ et dit qu'ils sont provisoirement pris en charge par l'Etat de Genève. Condamne A______ à verser 4'000 fr. à B______ SA, C______ et D______, pris conjointement, à titre de dépens.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