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ACJC/904/2018 vom 28. Mai 2018</w:t>
      </w:r>
    </w:p>
    <w:p>
      <w:r>
        <w:t>GE Cour de justice, 2018-05-28, FR</w:t>
      </w:r>
    </w:p>
    <w:p>
      <w:r>
        <w:rPr>
          <w:b/>
        </w:rPr>
        <w:t xml:space="preserve">Quelle: </w:t>
      </w:r>
      <w:r>
        <w:t>https://mcp.opencaselaw.ch/entscheid/ge_gerichte_ACJC_904_2018</w:t>
      </w:r>
    </w:p>
    <w:p>
      <w:r>
        <w:t>FR: GE_GERICHTE ACJC/904/2018 du 28 mai 2018</w:t>
      </w:r>
    </w:p>
    <w:p>
      <w:r>
        <w:t>IT: GE_GERICHTE ACJC/904/2018 del 28 maggio 2018</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w:t>
      </w:r>
    </w:p>
    <w:p>
      <w:r>
        <w:rPr>
          <w:b/>
        </w:rPr>
        <w:t>E. 1.2</w:t>
      </w:r>
    </w:p>
    <w:p>
      <w:r>
        <w:t>Le recours, écrit et motivé, doit être formé dans un délai de dix jours à compter de la notification de la décision (art. 321 al. 1 et 2 CPC), la procédure sommaire étant applicable (art. 251 let. a CPC). Déposé selon la forme et dans le délai prescrits, le recours est recevable.</w:t>
      </w:r>
    </w:p>
    <w:p>
      <w:r>
        <w:rPr>
          <w:b/>
        </w:rPr>
        <w:t>E. 1.3</w:t>
      </w:r>
    </w:p>
    <w:p>
      <w:r>
        <w:t>Au stade de la requête et de l'ordonnance de séquestre, la procédure est unilatérale et le débiteur n'est pas entendu (art. 272 LP; ATF 133 III 589 consid. 1). Dans le cadre du recours contre l'ordonnance de refus de séquestre, la</w:t>
      </w:r>
    </w:p>
    <w:p>
      <w:r>
        <w:t>- 4/7 -</w:t>
      </w:r>
    </w:p>
    <w:p>
      <w:r>
        <w:t>C/11560/2018 procédure conserve ce caractère unilatéral, car, pour assurer son efficacité, le séquestre doit être exécuté à l'improviste. L'art. 322 CPC est par conséquent inapplicable dans un tel cas. Partant, il n'y a pas lieu d'inviter B______ à présenter ses observations, ce qui ne constitue pas une violation de son droit d'être entendu (ATF 107 III 29 consid. 2 et 3; arrêts du Tribunal fédéral 5A_344/2010 du 8 juin 2010 consid. 5, in RSPC 2010 p. 400, et 5A_279/2010 du 24 juin 2010 consid. 4).</w:t>
      </w:r>
    </w:p>
    <w:p>
      <w:r>
        <w:rPr>
          <w:b/>
        </w:rPr>
        <w:t>E. 2</w:t>
      </w:r>
    </w:p>
    <w:p>
      <w:r>
        <w:t>La recourante soutient qu'un débiteur doit indiquer dans le cadre de la saisie tous les biens dont il est propriétaire, y compris les immeubles sis à l'étranger, lesquels sont systématiquement indiqués dans les procès-verbaux de saisie établis par les Offices des poursuites. B______ aurait ainsi dû mentionner l'immeuble dont il est propriétaire en France. Cette mention était utile car l'Office des poursuites aurait pu lui imputer un revenu locatif et saisir ce dernier en sa faveur. De par son comportement, B______ avait ainsi soustrait des biens à la mainmise d'un créancier. En outre, d'un point de vue subjectif, le fait que B______ ne lui ait pas remboursé le montant de 150'000 fr. qu'elle lui avait prêté en 1992 démontrait son intention de se soustraire à ses obligations.</w:t>
      </w:r>
    </w:p>
    <w:p>
      <w:r>
        <w:rPr>
          <w:b/>
        </w:rPr>
        <w:t>E. 2.1.1</w:t>
      </w:r>
    </w:p>
    <w:p>
      <w:r>
        <w:t>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L'autorité cantonale de recours examine avec une pleine cognition la violation du droit fédéral (art. 320 let. a CPC; arrêt du Tribunal fédéral 5A_303/2011 du 27 septembre 2011 consid. 2).</w:t>
      </w:r>
    </w:p>
    <w:p>
      <w:r>
        <w:rPr>
          <w:b/>
        </w:rPr>
        <w:t>E. 2.1.2</w:t>
      </w:r>
    </w:p>
    <w:p>
      <w:r>
        <w:t>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- 5/7 -</w:t>
      </w:r>
    </w:p>
    <w:p>
      <w:r>
        <w:t>C/11560/2018 A teneur de l'art. 271 al. 1 ch. 2 LP, le créancier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op. cit., n. 56 ad art. 271 LP).</w:t>
      </w:r>
    </w:p>
    <w:p>
      <w:r>
        <w:rPr>
          <w:b/>
        </w:rPr>
        <w:t>E. 2.2</w:t>
      </w:r>
    </w:p>
    <w:p>
      <w:r>
        <w:t>En l'espèce, B______ n'a pas fait "disparaître" l'immeuble dont il est propriétaire en France. Il n'est pas allégué qu'il aurait entrepris une quelconque démarche en vue de s'en séparer. L'existence de ce bien est en outre connue de longue date de la recourante de sorte qu'il ne pouvait pas le dissimuler en ne le mentionnant pas à l'Office des poursuites. Une telle absence pourrait tout au plus, le cas échéant, constituer une violation de ses obligations dans le cadre de la saisie, dont la recourante ne s'était toutefois pas plainte en contestant le procès- verbal de saisie. Par ailleurs sur le plan subjectif, l'absence de mention de l'immeuble dont B______ est propriétaire en France sur le procès-verbal de saisie relatif à une</w:t>
      </w:r>
    </w:p>
    <w:p>
      <w:r>
        <w:t>- 6/7 -</w:t>
      </w:r>
    </w:p>
    <w:p>
      <w:r>
        <w:t>C/11560/2018 poursuite concernant des contributions d'entretien ne permet pas de retenir de manière suffisamment vraisemblable une intention de sa part de se soustraire à ses obligations à l'égard de la recourante en ce qui concerne le remboursement du prêt qu'elle lui a octroyé. Les raisons de cette absence ne sont pas connues. Elle peut résulter du fait que B______ ne l'a pas mentionné à l'Office des poursuites. Dans cette hypothèse, il n'est cependant pas vraisemblable qu'il a voulu en cacher l'existence pour échapper à ses obligations envers la recourante puisqu'il sait nécessairement que celle-ci a connaissance de cet immeuble. La convention de divorce dans laquelle B______ s'engage à rembourser le prêt est en outre postérieure au procès-verbal de saisie litigieux, de sorte que B______ ne pouvait pas, à l'époque dudit procès-verbal, en ne mentionnant pas l'immeuble dont il est propriétaire, avoir l'intention d'échapper à une obligation à laquelle il n'avait pas encore souscrite. L'absence de mention peut également résulter du fait que l'Office des poursuites n'a pas mentionné cet immeuble, sis en France, car il ne pouvait pas participer à la saisie. Il n'est pas allégué que l'immeuble serait loué et il n'est pas vraisemblable que l'Office des poursuites aurait pu imputer à B______ un revenu locatif hypothétique, comme semble le soutenir la recourante, lequel aurait pu être saisi en faveur de la recourante. De ce point de vue, la mention de l'immeuble n'était pas déterminante. Ainsi, au vu de ce qui précède, les intérêts de la recourante, que tend à protéger le cas de séquestre de l'art. 271 al. 1 ch. 2 LP, n'ont pas été mis en danger par l'absence de mention dans un procès-verbal de saisie de l'immeuble sis en France dont B______ est propriétaire et les conditions du cas de séquestre de l'art. 271 al. 1 ch. 2 LP ne sont pas rendues vraisemblables. Le recours est infondé, de sorte qu'il sera rejeté.</w:t>
      </w:r>
    </w:p>
    <w:p>
      <w:r>
        <w:rPr>
          <w:b/>
        </w:rPr>
        <w:t>E. 3</w:t>
      </w:r>
    </w:p>
    <w:p>
      <w:r>
        <w:t>Au vu de l'issue du litige, il ne se justifie pas de revoir le montant et la répartition des frais de première instance. Les frais judiciaires du recours seront arrêtés à 1'125 fr. (art. 48 et 61 al. 1 OELP) et mis à la charge de la recourante, qui succombe dans ses conclusions (art. 105 al. 1 et 106 al. 1 CPC). Ils seront entièrement compensés avec l'avance de frais fournie par cette dernière, laquelle reste acquise à l'Etat de Genève (art. 111 al. 1 CPC). * * * * *</w:t>
      </w:r>
    </w:p>
    <w:p>
      <w:r>
        <w:t>- 7/7 -</w:t>
      </w:r>
    </w:p>
    <w:p>
      <w:r>
        <w:t>C/11560/2018 PAR CES MOTIFS, La Chambre civile : A la forme : Déclare recevable le recours interjeté par A______ contre l'ordonnance SQ/495/2018 rendu le 28 mai 2018 par le Tribunal de première instance dans la cause C/11560/2018- 14 SQP. Au fond : Rejette ce recours. Déboute les parties de toutes autres conclusions. Sur les frais : Arrête les frais judiciaires à 1'125 fr., les met à la charge de A______ et dit qu'ils sont compensés avec l'avance fournie, qui reste acquise à l'Etat de Genève. Siégeant : Madame Fabienne GEISINGER-MARIETHOZ, présidente; Monsieur Laurent RIEBEN, juge; Monsieur Louis PEILA, juge suppléant; Madame Fatina SCHAERER, greffière.</w:t>
      </w:r>
    </w:p>
    <w:p>
      <w:r>
        <w:t>La présidente : Fabienne GEISINGER-MARIETHOZ</w:t>
      </w:r>
    </w:p>
    <w:p>
      <w:r>
        <w:t>La greffière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