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ACJC/8/2021 vom 6. Januar 2021</w:t>
      </w:r>
    </w:p>
    <w:p>
      <w:r>
        <w:t>GE Cour de justice, 2021-01-06, FR</w:t>
      </w:r>
    </w:p>
    <w:p>
      <w:r>
        <w:rPr>
          <w:b/>
        </w:rPr>
        <w:t xml:space="preserve">Quelle: </w:t>
      </w:r>
      <w:r>
        <w:t>https://mcp.opencaselaw.ch/entscheid/ge_gerichte_ACJC_8_2021</w:t>
      </w:r>
    </w:p>
    <w:p>
      <w:r>
        <w:t>FR: GE_GERICHTE ACJC/8/2021 du 6 janvier 2021</w:t>
      </w:r>
    </w:p>
    <w:p>
      <w:r>
        <w:t>IT: GE_GERICHTE ACJC/8/2021 del 6 gennaio 2021</w:t>
      </w:r>
    </w:p>
    <w:p>
      <w:pPr>
        <w:pStyle w:val="Heading2"/>
      </w:pPr>
      <w:r>
        <w:t>Volltext</w:t>
      </w:r>
    </w:p>
    <w:p>
      <w:r>
        <w:t>Le présent arrêt est communiqué aux parties par plis recommandés du 06.01.2021.</w:t>
      </w:r>
    </w:p>
    <w:p>
      <w:r>
        <w:t>REPUBLIQUE ET</w:t>
      </w:r>
    </w:p>
    <w:p>
      <w:r>
        <w:t>CANTON DE GENEVE POUVOIR JUDICIAIRE C/17548/2020 ACJC/8/2021 ARRÊT DE LA COUR DE JUSTICE Chambre des baux et loyers DU MERCREDI 6 JANVIER 2021</w:t>
      </w:r>
    </w:p>
    <w:p>
      <w:r>
        <w:t>Entre A______, sise ______[GE], appelante et recourante d'un jugement rendu par le Tribunal des baux et loyers le 29 octobre 2020, comparant par Me Andreas DEKANY, avocat, rue du Conseil-Général 4, case postale 5422, 1211 Genève 11, en l'étude duquel elle fait élection de domicile, et B______, sise ______[GE], intimée, comparant par Me Thierry STICHER, avocat, boulevard Georges-Favon 14, case postale 5511, 1211 Genève 11, en l'étude duquel elle fait élection de domicile.</w:t>
      </w:r>
    </w:p>
    <w:p>
      <w:r>
        <w:t>- 2/5 -</w:t>
      </w:r>
    </w:p>
    <w:p>
      <w:r>
        <w:t>C/17548/2020 Vu, EN FAIT, le contrat de bail conclu par les parties le 1er juin 2018, portant sur la sous-location de locaux commerciaux sis dans l'immeuble ______[GE] à Genève, d'une surface de 150 m2; Attendu que le loyer, charges comprises, a été fixé en dernier lieu à 5'000 fr. par mois; Que le contrat de bail prévoit que d'éventuelles différences de surface qui pourraient résulter du mode de calcul du nombre de m2 en plus ou en moins par rapport à la surface mentionnée ne donneront lieu à aucune modification du loyer, ce dernier n'étant pas exprimé en fonction du métrage (art. 1 des clauses complémentaires); Que le 23 avril 2020, la sous-locataire, A______, a informé la sous-bailleresse, B______, de ce que la surface des locaux qu'elle occupait était de 55 m2 et non de 150 m2, de sorte qu'elle la mettait en demeure de lui mettre à disposition la surface totale prévue contractuellement ou de modifier le bail aux métrés actuels en adaptant le loyer, lequel devait être fixé à 1'833 fr. par mois dès le début de la location; Que le 15 mai 2020, A______ a déposé une requête devant la Commission de conciliation en matière de baux et loyers, concluant à ce qu'il soit ordonné à B______ SA de lui mettre à disposition la surface de 150 m2 avec effet immédiat et à ce qu'elle soit condamnée à lui verser les sommes de 72'749 fr. avec intérêts à 5% dès le 1er mai 2020 à titre de loyers payés en trop par rapport à la surface mise à disposition, de 100'000 fr. à titre de dommages-intérêts et de 10'000 fr. à titre de réparation du tort moral; Que cette procédure a été introduite le 28 septembre 2020 devant le Tribunal des baux et loyers, suite à l'échec de la tentative de conciliation; Que par courrier recommandé du 11 juin 2020, B______ a mis en demeure A______ de s'acquitter dans un délai de trente jours de la somme de 25'000 fr. représentant les arriérés de loyers des mois de décembre 2019 et de janvier à juin 2020, sous menace de résiliation de bail; Que par avis du 20 juillet 2020, B______ a résilié le contrat de bail pour le 31 août 2020; Que les locaux n'ont pas été restitués par A______; Que par requête du 20 août 2020, A______ a conclu à l'inefficacité du congé, subsidiairement à son annulation et à une prolongation de bail; Que, par requête en protection de cas clair reçue par le Tribunal des baux et loyers le 9 septembre 2020, B______ a requis l'évacuation de la sous-locataire, assorties de mesures d'exécution directes du jugement d'évacuation, et à sa condamnation à lui remettre les clés, sous la menace de l'article 292 CP;</w:t>
      </w:r>
    </w:p>
    <w:p>
      <w:r>
        <w:t>- 3/5 -</w:t>
      </w:r>
    </w:p>
    <w:p>
      <w:r>
        <w:t>C/17548/2020 Qu'à l'audience du 29 octobre 2020 devant le Tribunal, B______ a confirmé que A______ n'avait pas restitué les locaux et ne versait plus aucun loyer, tandis que cette dernière a conclu à l'irrecevabilité de la requête en évacuation, invoquant les procédures en cours et la compensation qu'elle avait effectuée avec les loyers payés en trop; Que la cause a été gardée à juger à l'issue de l'audience; Que, par jugement JTBL/890/2020 rendu le 29 octobre 2020, expédié pour notification aux parties le 4 décembre 2020, le Tribunal a condamné A______ à évacuer de sa personne, de ses biens et de tout tiers les bureaux d'administration et le demi-hall de la coupole situés dans l'immeuble sis ______[GE] (ch. 1 du dispositif), a autorisé B______ à requérir l'évacuation par la force publique de A______ dès l'entrée en force du jugement (ch. 2), a débouté les parties de toutes autres conclusions (ch. 3) et a dit que la procédure était gratuite (ch. 4); Vu le recours déposé le 17 décembre 2020 par A______ contre ce jugement par lequel elle conclut principalement à l'annulation des chiffres 1 et 2 de son dispositif, au déboutement de B______ de toutes ses conclusions et à la condamnation de cette dernière aux frais de l'instance, comprenant une équitable indemnité valant participation aux honoraires de son conseil; Attendu que A______ a conclu préalablement à ce qu'il soit sursis à l'exécution de l'évacuation et à ce que l'effet suspensif soit octroyé à son recours; Attendu que A______ a également formé un appel le 17 décembre 2020 contre ce jugement dans le cadre duquel elle conclut à l'annulation des chiffres 1, 2 et 3 de son dispositif, au déboutement de B______ de toutes ses conclusions et à la condamnation de cette dernière aux frais de l'instance, comprenant une équitable indemnité valant participation aux honoraires de son conseil; Qu'interpellée sur la requête d'effet suspensif sollicité dans le cadre du recours formé, B______ a, par écriture du 23 décembre 2020, conclu au rejet de cette requête et a sollicité, suite à l'appel formé, l'exécution anticipée du jugement du 29 octobre 2020; Qu'invitée à se déterminer, A______ a conclu au rejet de la demande d'exécution anticipée du jugement; Considérant, EN DROIT, que la voie de l'appel est ouverte contre le prononcé de l'évacuation, pour autant que la valeur litigieuse soit supérieure à 10'000 fr. au dernier état des conclusions (art. 308 al. 2 CPC); Que tel est le cas en l'espèce, s'agissant de la procédure d'évacuation; Que l'appel est irrecevable contre les décisions du tribunal de l'exécution (art. 309 let. a CPC);</w:t>
      </w:r>
    </w:p>
    <w:p>
      <w:r>
        <w:t>- 4/5 -</w:t>
      </w:r>
    </w:p>
    <w:p>
      <w:r>
        <w:t>C/17548/2020 Que la voie du recours est ainsi ouverte contre la mesure d'exécution; Que l'appel suspend la force de chose jugée et le caractère exécutoire de la décision (art. 315 al. 1 CPC); que l'instance d'appel peut autoriser l'exécution anticipée (art. 315 al. 2 CPC); Que le recours ne suspend pas la force de chose jugée et le caractère exécutoire de la décision; que l'instance de recours peut suspendre le caractère exécutoire (art. 325 al. 1 et 2 CPC); Que la Présidente soussignée a compétence pour statuer sur la requête d'exécution anticipée, laquelle se confond avec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l'appelante remet en cause tant le prononcé de l'évacuation que les mesures d'exécution ordonnées par le Tribunal; Que, dans la mesure où l'appel suspend les effets de la décision, cette suspension s'étend également aux mesures d'exécution; Qu'ainsi, la requête de restitution de l'effet suspensif est sans objet; Qu'il ne se justifie au surplus pas d'autoriser l'exécution anticipée de l'évacuation, au risque de rendre la procédure sans objet. * * * * *</w:t>
      </w:r>
    </w:p>
    <w:p>
      <w:r>
        <w:t>- 5/5 -</w:t>
      </w:r>
    </w:p>
    <w:p>
      <w:r>
        <w:t>C/17548/2020 PAR CES MOTIFS, La Présidente ad interim de la Chambre des baux et loyers : Constate la suspension de la force jugée et du caractère exécutoire des chiffres 1 et 2 du dispositif du jugement JTBL/890/2020 rendu le 29 octobre 2020 par le Tribunal des baux et loyers dans la cause C/17548/2020-8-SE. Dit que la requête d'effet suspensif est sans objet. Rejette la requête tendant à l'exécution anticipée des chiffres 1 et 2 du dispositif du jugement entrepris. Siégeant : Madame Jocelyne DEVILLE-CHAVANNE, présidente ad interim; Madame Maïté VALENTE, greffière.</w:t>
      </w:r>
    </w:p>
    <w:p>
      <w:r>
        <w:t>La présidente ad interim : Jocelyne DEVILLE-CHAVANNE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