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ACJC/89/2024 vom 29. Januar 2024</w:t>
      </w:r>
    </w:p>
    <w:p>
      <w:r>
        <w:t>GE Cour de justice, 2024-01-29, FR</w:t>
      </w:r>
    </w:p>
    <w:p>
      <w:r>
        <w:rPr>
          <w:b/>
        </w:rPr>
        <w:t xml:space="preserve">Quelle: </w:t>
      </w:r>
      <w:r>
        <w:t>https://mcp.opencaselaw.ch/entscheid/ge_gerichte_ACJC_89_2024</w:t>
      </w:r>
    </w:p>
    <w:p>
      <w:r>
        <w:t>FR: GE_GERICHTE ACJC/89/2024 du 29 janvier 2024</w:t>
      </w:r>
    </w:p>
    <w:p>
      <w:r>
        <w:t>IT: GE_GERICHTE ACJC/89/2024 del 29 gennaio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(ATF 144 III 346 consid. 1.2.1 et 1.2.2.3 - JdT 2019 II 235 pp. 236 et 239; arrêt du Tribunal fédéral 4A_376/2021 du 7 janvier 2022 consid.1; LACHAT, Procédure civile en matière de baux et loyers, Lausanne 2019, pp. 69-70).</w:t>
      </w:r>
    </w:p>
    <w:p>
      <w:r>
        <w:rPr>
          <w:b/>
        </w:rPr>
        <w:t>E. 1.2</w:t>
      </w:r>
    </w:p>
    <w:p>
      <w:r>
        <w:t>En l'espèce, la validité du congé a été tranchée définitivement par jugement du 30 mars 2022. La valeur litigieuse des locaux s'élève ainsi à 26'340 fr. (6 x 4'390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fait grief aux premiers juges d'avoir constaté inexactement les faits en ne retenant pas l'absence de qualité pour agir de l'intimé et conteste que le cas soit clair au sens de l'art. 257 CPC.</w:t>
      </w:r>
    </w:p>
    <w:p>
      <w:r>
        <w:t>- 5/7 -</w:t>
      </w:r>
    </w:p>
    <w:p>
      <w:r>
        <w:t>C/13637/2023</w:t>
      </w:r>
    </w:p>
    <w:p>
      <w:r>
        <w:rPr>
          <w:b/>
        </w:rPr>
        <w:t>E. 2.1.1</w:t>
      </w:r>
    </w:p>
    <w:p>
      <w:r>
        <w:t>Aux termes de l'art. 257 al. 1 CPC, le tribunal admet l'application de la procédure sommaire de protection dans les cas clairs lorsque les conditions suivantes sont remplies :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w:t>
      </w:r>
    </w:p>
    <w:p>
      <w:r>
        <w:rPr>
          <w:b/>
        </w:rPr>
        <w:t>E. 2.1.2</w:t>
      </w:r>
    </w:p>
    <w:p>
      <w:r>
        <w:t>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t>- 6/7 -</w:t>
      </w:r>
    </w:p>
    <w:p>
      <w:r>
        <w:t>C/13637/2023 La première partie au contrat du bail est le bailleur. Il n'est pas nécessairement le propriétaire de la chose louée. Parfois, il est lui-même locataire (contrat de sous- location) ou bien il dispose de la chose louée en vertu d'un droit réel limité (usufruit, droit de superficie) (LACHAT, Le bail à loyer, Lausanne 2019, p. 54).</w:t>
      </w:r>
    </w:p>
    <w:p>
      <w:r>
        <w:rPr>
          <w:b/>
        </w:rPr>
        <w:t>E. 2.1.3</w:t>
      </w:r>
    </w:p>
    <w:p>
      <w:r>
        <w:t>A teneur de l'article 267 al. 1 CO, le locataire doit restituer la chose dans l'état qui résulte d'un usage conforme au contrat à la fin du bail. La restitution des locaux implique la renonciation claire du locataire à l'usage de la chose à un moment déterminé. Pour que l'obligation soit exécutée, il faut un transfert de possession. La restitution se fait ainsi par la remise de la chose elle-même ou des moyens qui la font passer dans la puissance du bailleur (AUBERT, CPra Bail, n. 3 ad art. 267 CO et les références citées).</w:t>
      </w:r>
    </w:p>
    <w:p>
      <w:r>
        <w:rPr>
          <w:b/>
        </w:rPr>
        <w:t>E. 2.2</w:t>
      </w:r>
    </w:p>
    <w:p>
      <w:r>
        <w:t>En l'espèce, les parties ont été liées par un contrat de sous-location. A la suite de sa résiliation et de la contestation de celle-ci, un jugement, définitif et exécutoire, a été rendu le 30 mars 2022 par le Tribunal, déclarant valable le congé et accordant à l'appelant une unique prolongation de bail échéant au 30 juin 2023. Depuis cette date, l'appelant ne dispose plus de titre l'autorisant à occuper les locaux commerciaux litigieux. L'appelant fait grief au Tribunal d'avoir établi les faits de manière inexacte, en ne retenant pas que le bail principal avait pris fin définitivement. L'appelant soutient que l'intimé ne disposerait pas de la qualité pour agir en évacuation, dès lors qu'il ressortait du jugement précité du 31 mars 2022 que le précité avait résilié le contrat de sous-location en vue de l'échéance du contrat de bail principal au 30 juin 2023. Cette résiliation a été constatée par le Tribunal (let. K du jugement), de sorte qu'il a été correctement établi. Le grief de l'appelant en lien avec le bail principal ne saurait prospérer. D'une part, il ne résulte pas des titres versés à la procédure que le contrat de bail principal aurait été résilié. D'autre part, il importe peu que le contrat principal ait été résilié ou non. Le sous-locataire doit restituer la chose louée à la fin du bail de sous- location. Ainsi, s'il se maintient dans les locaux après la fin du contrat, respectivement au-delà de l'échéance de la prolongation de bail, le sous-bailleur dispose de la qualité pour agir en expulsion du sous-locataire. C'est par conséquent à bon droit que le Tribunal a fait droit à la requête en évacuation de l'appelant.</w:t>
      </w:r>
    </w:p>
    <w:p>
      <w:r>
        <w:rPr>
          <w:b/>
        </w:rPr>
        <w:t>E. 2.3</w:t>
      </w:r>
    </w:p>
    <w:p>
      <w:r>
        <w:t>Dès lors, le jugement entrepris sera confirmé. L'appelant n'a pour le surplus pas remis en cause les mesures d'exécution ordonnées par le Tribunal, de sorte qu'elles ne seront pas revues.</w:t>
      </w:r>
    </w:p>
    <w:p>
      <w:r>
        <w:rPr>
          <w:b/>
        </w:rPr>
        <w:t>E. 3</w:t>
      </w:r>
    </w:p>
    <w:p>
      <w:r>
        <w:t>A teneur de l'article 22 alinéa 1 LaCC, la procédure est gratuite (ATF 139 III 182 consid. 2.6). * * * * *</w:t>
      </w:r>
    </w:p>
    <w:p>
      <w:r>
        <w:t>- 7/7 -</w:t>
      </w:r>
    </w:p>
    <w:p>
      <w:r>
        <w:t>C/13637/2023 PAR CES MOTIFS, La Chambre des baux et loyers : A la forme : Déclare recevable l'appel interjeté le 9 octobre 2023 par A______ contre le jugement JTBL/754/2023 rendu le 21 septembre 2023 par le Tribunal des baux et loyers dans la cause C/13637/2023-24-SD.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