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ACJC/899/2021 vom 14. Juni 2021</w:t>
      </w:r>
    </w:p>
    <w:p>
      <w:r>
        <w:t>GE Cour de justice, 2021-06-14, FR</w:t>
      </w:r>
    </w:p>
    <w:p>
      <w:r>
        <w:rPr>
          <w:b/>
        </w:rPr>
        <w:t xml:space="preserve">Quelle: </w:t>
      </w:r>
      <w:r>
        <w:t>https://mcp.opencaselaw.ch/entscheid/ge_gerichte_ACJC_899_2021</w:t>
      </w:r>
    </w:p>
    <w:p>
      <w:r>
        <w:t>FR: GE_GERICHTE ACJC/899/2021 du 14 juin 2021</w:t>
      </w:r>
    </w:p>
    <w:p>
      <w:r>
        <w:t>IT: GE_GERICHTE ACJC/899/2021 del 14 giugno 2021</w:t>
      </w:r>
    </w:p>
    <w:p>
      <w:pPr>
        <w:pStyle w:val="Heading2"/>
      </w:pPr>
      <w:r>
        <w:t>Volltext</w:t>
      </w:r>
    </w:p>
    <w:p>
      <w:r>
        <w:t>Le présent arrêt est communiqué aux parties par plis recommandés du 8 juillet 2021.</w:t>
      </w:r>
    </w:p>
    <w:p>
      <w:r>
        <w:t>REPUBLIQUE ET</w:t>
      </w:r>
    </w:p>
    <w:p>
      <w:r>
        <w:t>CANTON DE GENEVE POUVOIR JUDICIAIRE C/15833/2020 ACJC/899/2021 ARRÊT DE LA COUR DE JUSTICE Chambre civile DU JEUDI 8 JUILLET 2021</w:t>
      </w:r>
    </w:p>
    <w:p>
      <w:r>
        <w:t>Entre Monsieur A______, domicilié ______ [GE], appelant d'un jugement rendu par la 19ème Chambre du Tribunal de première instance de ce canton le 14 juin 2021, comparant par Me Tania SANCHEZ WALTER, avocate, SWDS Avocats, rue du Conseil-Général 4, case postale 5422, 1211 Genève 11, en l'Étude de laquelle il fait élection de domicile, et Madame B______, domiciliée ______ [GE], intimée, comparant par Me Rocco MAURI, avocat, rue Saint-Maurice 12, case postale 3112, 2001 Neuchâtel, en l'Étude duquel elle fait élection de domicile.</w:t>
      </w:r>
    </w:p>
    <w:p>
      <w:r>
        <w:t>- 2/4 -</w:t>
      </w:r>
    </w:p>
    <w:p>
      <w:r>
        <w:t>C/15833/2020 Attendu, EN FAIT, que par jugement du 14 juin 2021, le Tribunal de première instance, statuant par voie de procédure sommaire, a débouté A______ de ses conclusions (ch. 1 du dispositif), ordonné à tout débiteur et/ou employeur de A______, notamment C______ SA, avenue 1______ [à] Genève, de verser mensuellement sur le compte de B______ toute somme supérieure au minimum vital de A______, arrêté à 2'150 fr., à concurrence des pensions alimentaires courantes des enfants, d'un montant total de 4'500 fr., prélevées notamment sur son salaire ainsi que sur toute commission, tout 13ème salaire et/ou toute autre gratification (ch. 2), statué sur les frais (ch. 3 et 4) et débouté les parties de toutes autres conclusions (ch. 4); Que le Tribunal a notamment considéré que depuis la séparation, A______ ne s'était acquitté qu'irrégulièrement de la contribution d'entretien en faveur de ses enfants et B______ avait dû faire appel au SCARPA; ce n'était qu'après le dépôt d'une procédure pénale à son encontre que A______ avait commencé à verser une partie de la contribution à ce Service; que les conditions légales d'une mesure d'avis aux débiteurs étaient ainsi remplies; Que par acte expédié à la Cour de justice le 28 juin 2021, A______ a formé appel contre ce jugement, concluant, avec suite de frais, à l'annulation du ch. 2 de son dispositif; Qu'il a conclu, préalablement, à l'octroi de l'effet suspensif à son appel; qu'il a invoqué à cet égard qu'il convenait d'éviter que son employeur soit informé de l'avis aux débiteurs, ce qui pourrait avoir une influence négative sur ses relations de travail avec celui-ci et conduire à son licenciement; qu'il s'était par ailleurs engagé à s'acquitter de l'intégralité de la contribution d'entretien et avait produit un ordre permanent en faveur du SCARPA d'un montant mensuel de 4'500 fr.; que A______ indique par ailleurs à l'appui de son appel que B______ ne dispose pas de la qualité pour agir dans la mesure où elle a cédé ses droits au SCARPA; Qu'invitée à se déterminer à cet égard, B______ a conclu à son rejet;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w:t>
      </w:r>
    </w:p>
    <w:p>
      <w:r>
        <w:t>- 3/4 -</w:t>
      </w:r>
    </w:p>
    <w:p>
      <w:r>
        <w:t>C/15833/2020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l'affirmation de l'appelant selon laquelle le fait que son employeur soit informé de l'avis au débiteur pourrait lui porter préjudice ne paraît pas invraisemblable; Qu'en outre, l'appelant a rendu vraisemblable que l'intimée avait conclu une convention avec le Service cantonal d’avance et de recouvrement des pensions alimentaires auquel elle a cédé ses droits et avoir donné un ordre de paiement en faveur de ce Service d'un montant correspondant à celui des contributions d'entretien; que l'octroi de l'effet suspensif n'est dès lors vraisemblablement pas de nature à causer à l'intimée un préjudice difficilement réparable; Qu'au vu de ce qui précède, la requête tendant à suspendre le caractère exécutoire du ch. 2 du dispositif du jugement attaqué sera admise; Qu'il sera statué sur les frais et dépens liés à la présente décision avec l'arrêt au fond (art. 104 al. 3 CPC). * * * * *</w:t>
      </w:r>
    </w:p>
    <w:p>
      <w:r>
        <w:t>- 4/4 -</w:t>
      </w:r>
    </w:p>
    <w:p>
      <w:r>
        <w:t>C/15833/2020 PAR CES MOTIFS, La Chambre civile : Statuant sur requête de suspension du caractère exécutoire du jugement entrepris: Admet la requête formée par A______ tendant à suspendre le caractère exécutoire du chiffre 2 du dispositif du jugement JTPI/7739/2021 rendu le 14 juin 2021 par le Tribunal de première instance dans la cause C/15833/2020.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