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ACJC/896/2024 vom 10. Juli 2024</w:t>
      </w:r>
    </w:p>
    <w:p>
      <w:r>
        <w:t>GE Cour de justice, 2024-07-10, FR</w:t>
      </w:r>
    </w:p>
    <w:p>
      <w:r>
        <w:rPr>
          <w:b/>
        </w:rPr>
        <w:t xml:space="preserve">Quelle: </w:t>
      </w:r>
      <w:r>
        <w:t>https://mcp.opencaselaw.ch/entscheid/ge_gerichte_ACJC_896_2024</w:t>
      </w:r>
    </w:p>
    <w:p>
      <w:r>
        <w:t>FR: GE_GERICHTE ACJC/896/2024 du 10 juillet 2024</w:t>
      </w:r>
    </w:p>
    <w:p>
      <w:r>
        <w:t>IT: GE_GERICHTE ACJC/896/2024 del 10 luglio 2024</w:t>
      </w:r>
    </w:p>
    <w:p>
      <w:pPr>
        <w:pStyle w:val="Heading2"/>
      </w:pPr>
      <w:r>
        <w:t>Erwägungen</w:t>
      </w:r>
    </w:p>
    <w:p>
      <w:r>
        <w:rPr>
          <w:b/>
        </w:rPr>
        <w:t>E. 1.1</w:t>
      </w:r>
    </w:p>
    <w:p>
      <w:r>
        <w:t>L'appel est recevable contre les décisions finales de première instance (art. 308 al. 1 let. a CPC) dans les causes patrimoniales dont la valeur, au dernier état des conclusions de première instance, est de 10'000 fr. au moins (art. 308 al. 2 CPC). En l'espèce, compte tenu de la quotité de la contribution à l'entretien de l'enfant mineur contestée en première instance, la valeur litigieuse, capitalisée selon l'art. 92 al. 2 CPC, est supérieure à 10'000 fr. La voie de l'appel est dès lors ouverte.</w:t>
      </w:r>
    </w:p>
    <w:p>
      <w:r>
        <w:rPr>
          <w:b/>
        </w:rPr>
        <w:t>E. 1.2</w:t>
      </w:r>
    </w:p>
    <w:p>
      <w:r>
        <w:t>L'appel, écrit et motivé, a été interjeté dans le délai utile (art. 130, 131, 142 al. 1, 145 al. 1 let. c et 311 al. 1 CPC), de sorte qu'il est recevable. Il en va de même du mémoire de réponse, déposé dans le délai et la forme prescrits par la loi (art. 312 CPC).</w:t>
      </w:r>
    </w:p>
    <w:p>
      <w:r>
        <w:rPr>
          <w:b/>
        </w:rPr>
        <w:t>E. 1.3</w:t>
      </w:r>
    </w:p>
    <w:p>
      <w:r>
        <w:t>La Cour revoit la cause avec un plein pouvoir d'examen (art. 310 CPC) et applique les maximes inquisitoire et d'office illimitée dans la mesure où le litige concerne un enfant mineur (art. 55 al. 2, 58 al. 2 et 296 CPC), ce qui a pour conséquence que le juge n'est pas lié par les conclusions des parties (art. 296 al. 3 CPC).</w:t>
      </w:r>
    </w:p>
    <w:p>
      <w:r>
        <w:rPr>
          <w:b/>
        </w:rPr>
        <w:t>E. 2</w:t>
      </w:r>
    </w:p>
    <w:p>
      <w:r>
        <w:t>A titre préalable, il y a lieu d'examiner la question du changement des circonstances et celle de la date d'effet de l'éventuelle modification du jugement de divorce. 2.1.1 En matière de contribution due pour l'entretien d'un enfant, l'art. 286 al. 2 CC, applicable par renvoi de l'art. 134 al. 2 CC, prévoit que si la situation change</w:t>
      </w:r>
    </w:p>
    <w:p>
      <w:r>
        <w:t>- 7/18 -</w:t>
      </w:r>
    </w:p>
    <w:p>
      <w:r>
        <w:t>C/2555/2023 notablement, le juge modifie ou supprime la contribution d'entretien à la demande du père, de la mère ou de l'enfant. Cette modification ou suppression suppose que des faits nouveaux importants et durables surviennent, qui commandent une règlementation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5A_230/2019 du 31 janvier 2020 consid. 5.1). Le moment déterminant pour apprécier si des circonstances nouvelles se sont produites est la date du dépôt de la demande de modification du jugement de divorce (ATF 137 III 604 consid. 4.1.1; arrêt du Tribunal fédéral 5A_230/2019 précité). Si des circonstances supplémentaires justifiant une modification du jugement de divorce surviennent en cours de procédure, le plaideur est tenu de les invoquer avant la clôture des débats (arrêt du Tribunal fédéral 5A_874/2019 du 22 juin 2020 consid. 3.2 in fine). 2.1.2 Le juge de l'action en modification d'un jugement de divorce peut fixer le moment à partir duquel son jugement prend effet selon appréciation (art. 4 CC) et en tenant compte des circonstances du cas concret. (ATF 117 II 368 consid. 4c; arrêt du Tribunal fédéral 5A_549/2020 du 19 mai 2021 consid. 3.1). En principe, la jurisprudence retient la date du dépôt de la demande (ATF 117 II 368 précité; 115 II 315 consid. 3b; 90 II 351 consid. 4; arrêt du Tribunal fédéral 5A_549/2020 précité). 2.2.1 En l'espèce, le Tribunal a considéré que la situation des parties s'était modifiée depuis le prononcé du divorce. Le niveau de vie des deux parents s'était amélioré. Le père réalisait actuellement un revenu mensuel de 12'578 fr. au lieu de 9'500 fr. en 2017. Quant à la mère, si son revenu était resté stable, en se remariant elle avait réduit ses charges et bénéficiait d'un disponible deux fois plus élevé. L'instauration d'une garde alternée modifiait également la situation des parties. Les charges mensuelles supplémentaires de l'enfant à supporter par le père se montaient à 1'080 fr. (1/2 de l'entretien de base et 20% de loyer du père). Quant aux charges de C______ à supporter par sa mère, elles avaient baissé de 300 fr. par mois de par l'instauration de la garde alternée. Sur la base de ce qui précède, le Tribunal est à juste titre entré en matière sur la demande de modification du jugement de divorce, ce que les parties ne remettent d'ailleurs pas en cause, de sorte qu'il ne sera pas revenu sur ce point.</w:t>
      </w:r>
    </w:p>
    <w:p>
      <w:r>
        <w:t>- 8/18 -</w:t>
      </w:r>
    </w:p>
    <w:p>
      <w:r>
        <w:t>C/2555/2023 2.2.2 La date d'effet de la modification du jugement de divorce n'a pas été fixée par le premier juge, de sorte qu'elle interviendra lorsque le présent arrêt sera entré en force, comme l'a sollicité l'appelant dans sa demande déposée en première instance. Aucun élément ne justifie de remettre en cause cette solution, que les parties, d'ailleurs, ne critiquent pas, de sorte qu'il n'y sera pas revenu non plus.</w:t>
      </w:r>
    </w:p>
    <w:p>
      <w:r>
        <w:rPr>
          <w:b/>
        </w:rPr>
        <w:t>E. 3</w:t>
      </w:r>
    </w:p>
    <w:p>
      <w:r>
        <w:t>L'appelant critique la contribution à l'entretien de l'enfant arrêtée par le Tribunal. 3.1.1 Lorsqu'il admet que les circonstances ayant prévalu lors du prononcé du jugement de divorce se sont modifiées durablement et de manière significative, le juge doit calculer à nouveau la contribution d'entretien selon les mêmes principes, après avoir actualisé tous les éléments pris en compte pour le calcul dans le jugement précédent et litigieux devant lui (ATF 138 III 289 consid. 11.1.1; 137 III 604 consid. 4.1.2; 120 II 285 consid. 4b; arrêt du Tribunal fédéral 5A_131/2014 du 27 mai 2014 consid. 2.1). 3.1.2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l'enfant ainsi qu'à la situation et aux ressources de ses père et mère; il est tenu compte de la fortune et des revenus de l'enfant (art. 285 al. 1 CC). Si l'enfant est sous la garde exclusive d'un de ses parents, le parent gardien fournit déjà complètement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 En cas de garde alternée avec prise en charge équivalente par les deux parents, la charge financière de l'enfant est assumée par chacun des parents en fonction de sa capacité contributive (ATF 147 III 265 consid. 5.5; arrêts du Tribunal fédéral 5A_926/2019 du 30 juin 2020 consid. 6.3; 5A_1032/2019 du 9 juin 2020 consid. 5.4.1; 5A_727/2018 du 22 août 2019 consid. 4.3.2.1). Chaque parent doit ainsi assumer, selon ses capacités, les besoins de l'enfant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w:t>
      </w:r>
    </w:p>
    <w:p>
      <w:r>
        <w:t>- 9/18 -</w:t>
      </w:r>
    </w:p>
    <w:p>
      <w:r>
        <w:t>C/2555/2023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 du Tribunal fédéral 5A_952/2019 du 2 décembre 2020 consid. 6.3.1). 3.1.3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La part d'épargne réalisée et prouvée doit être retranchée de l'excédent (ATF 147 III 265 consid. 7, 7.2 et 7.3). 3.1.4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5A_407/2021 du 6 mai 2022 consid. 3.2). Lorsque le juge entend tenir compte d'un revenu hypothétique,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5A_1046/2018 du 3 mai 2019 consid. 4.3).</w:t>
      </w:r>
    </w:p>
    <w:p>
      <w:r>
        <w:t>- 10/18 -</w:t>
      </w:r>
    </w:p>
    <w:p>
      <w:r>
        <w:t>C/2555/2023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5A_565/2022 du 27 avril 2023 consid. 3.1.1.2). Lorsqu'on exige d'une personne qu'elle reprenne ou étende une activité lucrative, il y a en principe lieu de lui accorder un délai d'adaptation approprié aux circonstances pour lui permettre de s'y conformer. Il n'est donc pas possible de lui imputer un revenu hypothétique avec effet rétroactif (ATF 137 III 118; 129 III 417 consid. 2.2 in JdT 2004 I 115; 128 III 4 consid. 4c/bb in JdT 2002 I 294; arrêts du Tribunal fédéral 5A_720/2011 du 8 mars 2012 consid. 6.1; 5P.79/2004 du 10 juin 2004 consid. 4.3; 5P.95/2003 du 28 avril 2003 consid. 2.3). 3.1.5 Les besoins des parties sont calculés en prenant pour point de départ les lignes directrices pour le calcul du minimum vital du droit des poursuites selon l'art. 93 LP (ATF 147 III 265 consid. 7.1). Lorsque les moyens financiers le permettent, comme en l'espèce, ce qui n'est pas contesté,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effectifs (plutôt que fondés sur le minimum d'existence), les frais d'exercice du droit de visite, un montant adapté pour l'amortissement des dettes, et, en cas de circonstances favorables, les primes d'assurances 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d'assurances maladie complémentaires. En revanche, la prise en compte de postes supplémentaires comme les voyages ou les loisirs n'est pas admissible. Ces besoins doivent être financés au moyen de la répartition de l'excédent (ATF 147 III 265 consid. 7.2). 3.1.6 La règle de répartition de l'excédent par "grandes et petites têtes" n'est pas absolue et peut être relativisée selon les circonstances du cas particulier. Ainsi, en cas de situation financière nettement supérieure à la moyenne, la part d'excédent calculée de l'enfant doit être limitée pour des raisons éducatives, indépendamment du train de vie mené par les parents (ATF 147 III 265 consid. 7.3; arrêt du Tribunal fédéral 5A_597/2022 du 7 mars 2021 consid. 6.2).</w:t>
      </w:r>
    </w:p>
    <w:p>
      <w:r>
        <w:t>- 11/18 -</w:t>
      </w:r>
    </w:p>
    <w:p>
      <w:r>
        <w:t>C/2555/2023 L'enfant ne peut pas prétendre à un train de vie supérieur à celui dont il bénéficiait avant la séparation. Dans des situations particulièrement favorables, sa part de l'excédent doit ainsi être arrêtée en fonction de ses besoins concrets et en faisant abstraction du train de vie mené par les parents, ce qui se justifie également d'un point de vue éducatif. En outre, toutes les particularités du cas justifiant le cas échéant de déroger à la règle (comme la répartition de la prise en charge ou des besoins concrets, etc.) doivent également être appréciées au moment de la répartition de l'excédent, afin de ne pas aboutir à un financement indirect de l'autre parent par le biais de contributions d'entretien excessives (ATF 147 III 265 consid. 7.2 à 7.4). Lorsque les parents sont mariés, l'excédent à prendre en considération est celui de l'entier de la famille, à savoir l'excédent cumulé des deux parents (ATF 147 III 265 consid. 8.3; arrêt du Tribunal fédéral 5A_597/2022 précité consid. 6.2). Dans les autres cas, il n'apparaît pas opportun d'attribuer virtuellement une "grande tête" à un parent qui n'a pas de droit propre à son entretien, ni celui de profiter effectivement de l'excédent de l'autre parent. Il convient, au contraire, de s'en tenir à une répartition de l'excédent entre les personnes qui participent concrètement à la relation d'entretien (débirentier- enfant) (arrêt du Tribunal fédéral 5A_668/2021 du 19 juillet 2023 consid. 2.7). La part de l'excédent en faveur des enfants est partagée par moitié entre chacun de leurs parents qui assument leur garde alternée (arrêt du Tribunal fédéral 5A_330/2022 du 27 mars 2023 consid. 4.1.2 et 4.2.4). 3.1.7 Dans la mesure où, s'agissant des questions touchant aux enfants mineurs, le tribunal juge sans être lié par les conclusions des parties, une convention des époux sur le sort des enfants ne lie pas le tribunal, mais possède plutôt le caractère d'une conclusion commune (art. 285 let. d CPC; ATF 143 III 361 consid. 7.3; arrêt du Tribunal fédéral 5A_1031/2019 du 26 juin 2020 consid. 2.2) et ce, même lorsqu'elle intervient sous la forme d'une convention de divorce (arrêts du Tribunal fédéral 5A_915/2018 du 15 mai 2019 consid. 3.3; 5A_1031/2019 du 26 juin 2020consid. 2.2).</w:t>
      </w:r>
    </w:p>
    <w:p>
      <w:r>
        <w:rPr>
          <w:b/>
        </w:rPr>
        <w:t>E. 3.2</w:t>
      </w:r>
    </w:p>
    <w:p>
      <w:r>
        <w:t>En l'espèce, le Tribunal a retenu qu'au moment du divorce en 2017, les parties avaient décidé de faire bénéficier C______ du niveau de vie de son père. La contribution à son entretien "dépassait" de 1'014 fr. par mois ses besoins chez sa mère, et, dès dix ans, de 1'214 fr. par mois, étant donné que toutes les charges à part le loyer étaient payées par le père. Il n'y avait aucune raison de réduire le niveau de vie de C______ une fois la garde alternée instaurée, ce d'autant que celui du père était beaucoup plus élevé qu'au moment du divorce. Ainsi, il convenait d'ajouter aux "charges de base" de C______ chez sa mère, soit au montant de 750 fr. par mois, la moitié de 1'214 fr., dans la mesure où ce n'était que la moitié du temps que C______ devrait bénéficier du niveau de vie</w:t>
      </w:r>
    </w:p>
    <w:p>
      <w:r>
        <w:t>- 12/18 -</w:t>
      </w:r>
    </w:p>
    <w:p>
      <w:r>
        <w:t>C/2555/2023 précédent. Il se justifiait ainsi de fixer la contribution d'entretien litigieuse au montant arrondi de 1'350 fr. par mois (750 fr.+ 607 fr.). Par ailleurs, selon la volonté des parties, les allocations familiales continueraient à être versées sur un compte bancaire au nom de C______. Il convient tout d'abord d'examiner les ressources et besoins actuels des parties et de leur enfant, à la lumière des griefs de celles-ci.</w:t>
      </w:r>
    </w:p>
    <w:p>
      <w:r>
        <w:rPr>
          <w:b/>
        </w:rPr>
        <w:t>E. 3.2.1</w:t>
      </w:r>
    </w:p>
    <w:p>
      <w:r>
        <w:t>L'appelant reproche avec raison au Tribunal d'avoir retenu, dans son jugement du 5 décembre 2023, que le revenu mensuel net de l'intimée se montait à 4'900 fr. en effectuant une moyenne sur l'année 2022 comprenant une période de chômage. L'intimée est au bénéfice d'un contrat de travail, lequel aura été en vigueur plus de deux ans et demi à son échéance, soit de juin 2022 à mars 2025. Elle a touché à ce titre, selon les dernières pièces produites, un montant mensuel net de 5'913 fr. de janvier à mars 2023. L'intimée invoque en vain le fait que l'éventuelle modification des circonstances doit être examinée au moment du dépôt de la demande, dès lors qu'en l'occurrence ce dépôt est précisément intervenu en février 2023. Au demeurant, il ne s'agit pas ici de déterminer si au moment du dépôt de la demande un changement important et durable des circonstances était intervenu depuis le jugement de divorce, mais d'actualiser la situation financière des parties. Quoi qu'il en soit, dans ces deux cas, il est correct de prendre en considération l'évolution de la situation en cours de procédure, lorsque les éléments en question sont allégués de façon recevable. Certes, le contrat de l'intimée est de durée déterminée et doit se terminer le 31 mars 2025. A cet égard, l'intimée fait ainsi valoir qu'"une période de chômage n'est pas à exclure après la durée dudit contrat". Cela étant, il est tout aussi probable que le contrat de l'intimée soit renouvelé à son échéance, comme il l'a déjà été une première fois, ou que celle-ci trouve un nouvel emploi similaire. Les revenus mensuels nets de l'intimée seront donc arrêtés à 5'900 fr. Pour ce qui est de la période à compter du 1er avril 2025, un revenu hypothétique du même montant lui sera imputé, ceci pour une activité à temps plein en qualité de commise greffière ou pour toute autre activité administrative similaire, étant relevé que le délai qui lui est accordé pour trouver un tel emploi, à savoir du prononcé de la présente décision au 1er avril 2025, est suffisant. En ce qui concerne le minimum vital du droit de la famille de l'intimée, celle-ci relève à juste titre que certains des postes qu'elle a allégués en première instance n'ont, à tort et sans motivation, pas été retenus par le Tribunal ou ne l'ont été que partiellement, alors qu'ils étaient démontrés et/ou par ailleurs admis dans le budget de l'appelant. Ainsi, conformément aux pièces produites et/ou par respect du principe d'égalité entre les parties, le minimum vital du droit de la famille de l'intimée sera arrêté à 3'362 fr. par mois, comprenant 1'244 fr. de loyer charges comprises (80% de 1'555 fr. [3'110 fr. (2'930 fr. + 180 fr.) / 2]), 850 fr. d'entretien</w:t>
      </w:r>
    </w:p>
    <w:p>
      <w:r>
        <w:t>- 13/18 -</w:t>
      </w:r>
    </w:p>
    <w:p>
      <w:r>
        <w:t>C/2555/2023 de base, 120 fr. de frais de place de parking, 120 fr. de frais de véhicule, 488 fr. de prime d'assurance maladie obligatoire, 156 fr. de prime d'assurance maladie complémentaire, 34 fr. de prime d'assurance ménage et de responsabilité civile ainsi que 350 fr. de charge fiscale estimée. En effet, selon une estimation effectuée au moyen de la calculette disponible sur le site de l'Administration fiscale genevoise en tenant compte de son état civil, de son revenu net de 5'900 fr. par mois, d'aucuns revenus réalisés par son conjoint, d'une charge de famille, du paiement en ses mains de la contribution d'entretien fixée dans le présent arrêt de 850 fr. par mois (cf. infra, consid. 3.2.4) et de ses primes d'assurance maladie de 644 fr. par mois, l'intimée s'acquittera d'une charge fiscale de 350 fr. par mois. Le montant disponible de l'intimée s'établit donc à 2'538 fr. par mois (5'900 fr. – 3'362 fr.).</w:t>
      </w:r>
    </w:p>
    <w:p>
      <w:r>
        <w:rPr>
          <w:b/>
        </w:rPr>
        <w:t>E. 3.2.2</w:t>
      </w:r>
    </w:p>
    <w:p>
      <w:r>
        <w:t>Les revenus mensuels nets de l'appelant se montent à 17'994 fr. (12'578 fr. de son activité dépendante pour sa société + 5'416 fr. de revenus mobiliers après déduction de l'impôt anticipé). Par ailleurs, son minimum vital du droit de la famille arrêté par le Tribunal à 6'391 fr. n'est pas remis en cause, de sorte qu'il ne sera pas revenu sur ce point, sous réserve d'un montant de 48 fr. qui en sera déduit par souci d'égalité entre les parties. En effet, la somme de 120 fr. admise dans le minimum vital du droit de la famille de l'intimée au titre des frais de véhicule sera également retenue à ce titre en ce qui concerne l'appelant en lieu et place de la somme de 168 fr. retenue par le premier juge. Ainsi, le montant dont dispose mensuellement l'appelant s'élève à 11'651 fr. (17'994 fr. – 6'343 fr. [6'391 fr. – 48 fr.]).</w:t>
      </w:r>
    </w:p>
    <w:p>
      <w:r>
        <w:rPr>
          <w:b/>
        </w:rPr>
        <w:t>E. 3.2.3</w:t>
      </w:r>
    </w:p>
    <w:p>
      <w:r>
        <w:t>Il est admis par les parties en seconde instance que les coûts directs de C______ dès l'instauration de la garde alternée totalisent, comme l'a constaté le Tribunal, 2'383 fr. par mois et que ces coûts sont payés à hauteur de 750 fr. par sa mère (305 fr. de loyer + 300 fr. d'entretien de base + 100 fr. de frais de télécommunication + 45 fr. de frais de transport) et 1'633 fr. par son père (780 fr. de loyer + 300 fr. d'entretien de base + 265 fr. d'assurances maladie + 198 fr. de frais médicaux et dentaires + 90 fr. d'activités extrascolaires), de sorte qu'il ne sera pas revenu sur ce point non plus, sous réserve du fait que le montant de 90 fr. par mois d'activités extrascolaires sera écarté, au motif que ces frais n'entrent pas dans le minimum vital du droit de la famille, mais doivent être financés par l'excédent de la famille le cas échéant. Les coûts directs de C______ selon le minimum vital du droit de la famille seront donc arrêtés à 2'293 fr. par mois (2'383 fr. – 90 fr.).</w:t>
      </w:r>
    </w:p>
    <w:p>
      <w:r>
        <w:t>- 14/18 -</w:t>
      </w:r>
    </w:p>
    <w:p>
      <w:r>
        <w:t>C/2555/2023 Les parties s'entendent sur le fait que, comme convenu à l'époque de leur divorce, les allocations familiales de l'enfant continueront d'être épargnées sur un compte au nom de celui-ci, de sorte que ce point du jugement entrepris sera confirmé.</w:t>
      </w:r>
    </w:p>
    <w:p>
      <w:r>
        <w:rPr>
          <w:b/>
        </w:rPr>
        <w:t>E. 3.2.4</w:t>
      </w:r>
    </w:p>
    <w:p>
      <w:r>
        <w:t>Reste à calculer la contribution d'entretien litigieuse. Conformément aux principes jurisprudentiels rappelés plus haut, du fait de la garde alternée nouvellement instaurée, la répartition de l'entretien de l'enfant entre ses parents se détermine en fonction des capacités contributives de ceux-ci. Or, leur solde disponible respectif s'élève à 11'651 fr. pour ce qui est de l'appelant et à 2'538 fr. s'agissant de l'intimée, soit un rapport de 82%-18% arrondis. Ainsi, la part de l'appelant à l'entretien de C______ pour ce qui est de ses coûts directs, soit hors répartition de l'excédent, se monte à 1'880 fr. par mois (82% de 2'293 fr.) et celle de l'intimée à 413 fr. par mois (18% de 2'293 fr.). Par ailleurs, l'excédent de l'appelant s'élève à 9'771 fr. par mois (11'651 fr. – 1'880 fr.), aucune part d'épargne n'ayant été démontrée ni même invoquée. Ainsi, selon la méthode arrêtée par le Tribunal fédéral, C______ aurait théoriquement droit à 1/3 de ce montant, soit à 3'257 fr. par mois au titre de sa part à l'excédent de son père, débiteur de la contribution d'entretien, ce dernier ayant quant à lui droit aux 2/3. Cela étant, le Tribunal a relevé à juste titre que la contribution à l'entretien de C______ dont ont convenu ses parents à l'époque du divorce dépassait ses coûts directs de 1'014 fr. par mois (2'000 fr. par mois de contribution d'entretien versée en mains de l'intimée qui détenait la garde exclusive de l'enfant – 986 fr. par mois de coûts directs de celui-ci auprès d'elle, étant relevé, comme constaté par le premier juge, que l'ensemble des autres coûts directs de l'enfant était pris en charge par le père en sus de dite contribution d'entretien). Ce montant de 1'104 fr. par mois représentait ainsi la part à l'excédent du père dont les parties avaient convenu que leur enfant bénéficierait après leur divorce pour maintenir son train de vie. Or, comme l'a retenu le premier juge, rien ne justifie de s'écarter, à la hausse ou à la baisse, de cette convention des parties ratifiée par le juge du divorce, la procédure de modification n'ayant pas pour vocation de corriger le jugement de divorce. Pour ce qui est de revoir à la baisse cette part à l'excédent fixée lors du divorce à 1'014 fr. par mois, l'appelant invoque ainsi en vain qu'il "versait un montant bien trop élevé" et que le Tribunal ne pouvait pas en déduire qu'il souhaitait payer une contribution disproportionnée ad vitam aeternam".</w:t>
      </w:r>
    </w:p>
    <w:p>
      <w:r>
        <w:t>- 15/18 -</w:t>
      </w:r>
    </w:p>
    <w:p>
      <w:r>
        <w:t>C/2555/2023 Pour ce qui est de revoir cette part à la hausse sur la base du calcul théorique effectué ci-dessus conformément à la méthode posée par le Tribunal fédéral, une telle solution ne se justifie en tout état pas, pour des motifs éducatifs et parce que cela aurait pour effet de faire bénéficier à l'enfant d'un train de vie supérieur à celui qu'il menait avant le divorce de ses parents. Au vu de ce qui précède, l'entretien convenable de C______ se monte à 3'307 fr. par mois, soit 2'293 fr. de coûts directs et 1'014 fr. de part à l'excédent. Il n'y a pas lieu de retenir une augmentation de ce dernier montant à 1'214 fr. par mois dès que l'enfant a atteint 10 ans, comme l'a fait à tort le premier juge au motif que la contribution d'entretien convenue lors du divorce devait augmenter de 2'000 fr. à 2'200 fr. dès ce palier. En effet, les besoins de l'enfant ont également augmenté de 200 fr. dès cet âge, l'entretien de base passant de 400 fr. à 600 fr. selon les normes OP, de sorte que la part à l'excédent convenue est demeurée inchangée une fois ce palier atteint. Comme il a été exposé ci-dessus, l'appelant doit contribuer aux coûts directs de l'enfant à hauteur de 1'880 fr. par mois et l'intimée à hauteur de 413 fr. par mois. Or, c'est un montant de 1'543 fr. que prend en charge le premier (780 fr. de loyer + 300 fr. d'entretien de base + 265 fr. d'assurance maladie + 198 fr. de frais médicaux et dentaires) et un montant de 750 fr. que prend en charge la seconde (305 fr. de loyer + 300 fr. d'entretien de base + 100 fr. de frais de télécommunication + 45 fr. de frais de transport). L'appelant doit donc verser en mains de celle-ci la somme de 337 fr. par mois au titre de contribution aux coûts directs de l'enfant auprès d'elle (750 fr. – 413 fr.), versement après lequel il aura contribué chaque mois comme il le doit, soit à hauteur de 1'880 fr. (1'543 fr. + 337 fr.). Pour ce qui est de la part à l'excédent à laquelle a droit l'enfant, il convient de la répartir par moitié entre les parents, de sorte que l'appelant doit verser 507 fr. à l'intimée à ce titre (1'014 fr. / 2), étant relevé qu'il continuera de s'acquitter, au moyen de l'autre moitié de la part de l'enfant à l'excédent, qui restera en ses mains, des frais d'activités extrascolaires et de camps scolaires, comme il s'y est engagé. En conclusion, la contribution d'entretien à verser par l'appelant en mains de l'intimée en faveur de l'enfant C______ sera donc fixée au montant arrondi de 850 fr. par mois (337 fr. + 507 fr.), étant relevé que ce versement ne sera pas limité aux 25 ans de l'enfant (ATF 130 V 237; arrêts du Tribunal fédéral 5A_517/2020 du 4 octobre 2021 consid. 4.1; 5A_330/2014 du 30 octobre 2014 consid. 8.3). Partant, le chiffre 4 du dispositif du jugement entrepris sera annulé et il sera statué dans ce sens.</w:t>
      </w:r>
    </w:p>
    <w:p>
      <w:r>
        <w:t>- 16/18 -</w:t>
      </w:r>
    </w:p>
    <w:p>
      <w:r>
        <w:t>C/2555/2023</w:t>
      </w:r>
    </w:p>
    <w:p>
      <w:r>
        <w:rPr>
          <w:b/>
        </w:rPr>
        <w:t>E. 4</w:t>
      </w:r>
    </w:p>
    <w:p>
      <w:r>
        <w:t>Les frais judiciaires d'appel seront arrêtés à 1'000 fr. (art. 95 al. 2 et 105 al. 1 CPC; art. 30 et 35 RTFMC) et mis à la charge des parties pour moitié chacune, vu l'issue et la nature familiale du litige (art. 107 al. 1 let. c CPC). Ils seront entièrement compensés avec l'avance de même montant versée par l'appelant, acquise à l'Etat de Genève (art. 111 al. 1 CPC). L'intimée sera en conséquence condamnée à verser 500 fr. à l'appelant à titre de remboursement de sa part aux frais judicaires d'appel (art. 111 al. 2 CPC). Chaque partie supportera ses propres dépens d'appel vu la nature familiale du litige (art. 107 al. 1 let. c CPC). * * * * *</w:t>
      </w:r>
    </w:p>
    <w:p>
      <w:r>
        <w:t>- 17/18 -</w:t>
      </w:r>
    </w:p>
    <w:p>
      <w:r>
        <w:t>C/2555/2023 PAR CES MOTIFS, La Chambre civile : A la forme : Déclare recevable l'appel interjeté le 11 janvier 2024 par A______ contre le jugement JTPI/14422/2023 rendu le 5 décembre 2023 par le Tribunal de première instance dans la cause C/2555/2023. Au fond : Annule le chiffre 4 du dispositif du jugement entrepris et, statuant à nouveau sur ce point : Condamne A______ à verser 850 fr. à B______, par mois et d'avance, au titre de l'entretien de l'enfant C______ jusqu'à sa majorité, voire au-delà s'il poursuit une formation professionnelle ou des études sérieuses et régulières. Confirme le jugement entrepris pour le surplus. Déboute les parties de toute autre conclusion. Sur les frais : Arrête les frais judiciaires d'appel à 1'000 fr., les met à la charge des parties à raison de la moitié chacune et les compense avec l'avance versée, qui reste acquise à l'Etat de Genève. Condamne en conséquence B______ à verser 500 fr. à A______ à titre de remboursement des frais judiciaires d'appel. Dit que chaque partie assume ses propres dépens d'appel. Siégeant : Madame Jocelyne DEVILLE-CHAVANNE, présidente; Madame Verena PEDRAZZINI RIZZI, Madame Nathalie LANDRY-BARTHE, juges; Madame Camille LESTEVEN, greffière.</w:t>
      </w:r>
    </w:p>
    <w:p>
      <w:r>
        <w:t>- 18/18 -</w:t>
      </w:r>
    </w:p>
    <w:p>
      <w:r>
        <w:t>C/2555/2023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