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ACJC/896/2020 vom 30. Juni 2020</w:t>
      </w:r>
    </w:p>
    <w:p>
      <w:r>
        <w:t>GE Cour de justice, 2020-06-30, FR</w:t>
      </w:r>
    </w:p>
    <w:p>
      <w:r>
        <w:rPr>
          <w:b/>
        </w:rPr>
        <w:t xml:space="preserve">Quelle: </w:t>
      </w:r>
      <w:r>
        <w:t>https://mcp.opencaselaw.ch/entscheid/ge_gerichte_ACJC_896_2020</w:t>
      </w:r>
    </w:p>
    <w:p>
      <w:r>
        <w:t>FR: GE_GERICHTE ACJC/896/2020 du 30 juin 2020</w:t>
      </w:r>
    </w:p>
    <w:p>
      <w:r>
        <w:t>IT: GE_GERICHTE ACJC/896/2020 del 30 giugno 2020</w:t>
      </w:r>
    </w:p>
    <w:p>
      <w:pPr>
        <w:pStyle w:val="Heading2"/>
      </w:pPr>
      <w:r>
        <w:t>Erwägungen</w:t>
      </w:r>
    </w:p>
    <w:p>
      <w:r>
        <w:rPr>
          <w:b/>
        </w:rPr>
        <w:t>E. 1.1</w:t>
      </w:r>
    </w:p>
    <w:p>
      <w:r>
        <w:t>Les jugements de divorce sont susceptibles d'appel si l'affaire est non pécuniaire ou si la valeur litigieuse au dernier état des conclusions devant le Tribunal de première instance atteint 10'000 fr. au moins (art. 308 CPC). En l'espèce, le litige porte notamment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Interjeté contre une décision finale de première instance, dans le délai utile de 30 jours et selon la forme prescrite par la loi, l'appel est recevable (art. 130, 131, 142 al. 3 et 311 al. 1 CPC).</w:t>
      </w:r>
    </w:p>
    <w:p>
      <w:r>
        <w:rPr>
          <w:b/>
        </w:rPr>
        <w:t>E. 1.2</w:t>
      </w:r>
    </w:p>
    <w:p>
      <w:r>
        <w:t>La Cour revoit la cause avec un plein pouvoir d'examen (art. 310 CPC), dans la limite des griefs suffisamment motivés qui sont formulés (arrêts du Tribunal fédéral 4A_290/2014 du 1er septembre 2014 consid. 5; 5A_89/2014 du 15 avril 2011 consid. 5.3.2). S'agissant du sort d'un enfant mineur, les maximes d'office et inquisitoire illimitée s'appliquent (art. 296 al. 3 CPC). La Cour établit les faits d'office (art. 55 al. 2 CPC) et n'est liée ni par les conclusions des parties sur ce point (art. 296 al. 3 CPC) ni par l'interdiction de la reformatio in pejus (ATF 129 III 417 consid. 2.1.1; arrêt du Tribunal fédéral 5A_562/2009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t>- 15/21 -</w:t>
      </w:r>
    </w:p>
    <w:p>
      <w:r>
        <w:t>C/21106/2018</w:t>
      </w:r>
    </w:p>
    <w:p>
      <w:r>
        <w:rPr>
          <w:b/>
        </w:rPr>
        <w:t>E. 2</w:t>
      </w:r>
    </w:p>
    <w:p>
      <w:r>
        <w:t>L'appelante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w:t>
      </w:r>
    </w:p>
    <w:p>
      <w:r>
        <w:rPr>
          <w:b/>
        </w:rPr>
        <w:t>E. 2.2</w:t>
      </w:r>
    </w:p>
    <w:p>
      <w:r>
        <w:t>En l'espèce, les pièces nouvelles produites sont recevables, dans la mesure où elles sont pertinentes pour statuer sur les droits parentaux. Il en va de même des allégués de fait s'y rapportant.</w:t>
      </w:r>
    </w:p>
    <w:p>
      <w:r>
        <w:rPr>
          <w:b/>
        </w:rPr>
        <w:t>E. 3</w:t>
      </w:r>
    </w:p>
    <w:p>
      <w:r>
        <w:t>L'appelante fait grief au Tribunal d'avoir violé son droit d'être entendue, en omettant de motiver sa décision, d'une part, et d'administrer les preuves nécessaires à la solution du litige, notamment une nouvelle expertise familiale - dont elle prétend avoir sollicité l'établissement - et l'audition des enfants, d'autre part.</w:t>
      </w:r>
    </w:p>
    <w:p>
      <w:r>
        <w:rPr>
          <w:b/>
        </w:rPr>
        <w:t>E. 3.1.1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Cette garantie protège aussi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139 II 489 consid. 3.3).</w:t>
      </w:r>
    </w:p>
    <w:p>
      <w:r>
        <w:t>- 16/21 -</w:t>
      </w:r>
    </w:p>
    <w:p>
      <w:r>
        <w:t>C/21106/2018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w:t>
      </w:r>
    </w:p>
    <w:p>
      <w:r>
        <w:rPr>
          <w:b/>
        </w:rPr>
        <w:t>E. 3.1.2</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de l'art. 273 al. 1 CC est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w:t>
      </w:r>
    </w:p>
    <w:p>
      <w:r>
        <w:t>- 17/21 -</w:t>
      </w:r>
    </w:p>
    <w:p>
      <w:r>
        <w:t>C/21106/2018 274 al. 2 CC, peut ainsi consister en l'organisation des visites, avec ou sans curatelle de surveillance, dans un lieu protégé spécifique, tel un Point Rencontre ou une autre institution analogue (arrêts du Tribunal fédéral 5A_699/2017 du 24 octobre 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5A_334/2018 du 7 août 2018; consid. 3.1; 5A_618/2017 du 2 février 2018 consid. 4.2; 5A_568/2017 du 21 novembre 2017 consid. 5.1; 5A_699/2017 du 24 octobre 2017 consid. 5.1; 5A_728/2015 du 25 août 2016 consid. 2.2 et les références).</w:t>
      </w:r>
    </w:p>
    <w:p>
      <w:r>
        <w:rPr>
          <w:b/>
        </w:rPr>
        <w:t>E. 3.1.3</w:t>
      </w:r>
    </w:p>
    <w:p>
      <w:r>
        <w:t>Selon l'art. 292 CP, celui qui ne se sera pas conformé à une décision à lui signifiée, sous la menace de la peine prévue au présent article, par une autorité ou un fonctionnaire compétents sera puni d'une amende. Lorsque la décision prescrit une obligation de faire, de s'abstenir ou de tolérer, le tribunal de l'exécution peut notamment assortir la décision de la menace de la peine prévue à l'art. 292 CP (art. 343 al. 1 let. a CPC). Cette mesure relève de la contrainte indirecte, dont la finalité vise à briser la résistance du débiteur récalcitrant et à obtenir qu'il s'exécute. Elle n'a pas un caractère pénal, mais vise à faire pression sur la partie succombante (JEANDIN, Commentaire romand, Code de procédure civile, 2ème éd. 2019, n. 7 ss ad art. 343 CPC). L'exercice du droit peut être assorti d'une menace de sanction (amende) au sens de l'art. 292 CP pour le cas où le titulaire des relations personnelles enfreindrait les modalités fixées par le jugement (MEIER/STETTLER, Le droit de la filiation, 6ème éd. 2019, n. 1068).</w:t>
      </w:r>
    </w:p>
    <w:p>
      <w:r>
        <w:rPr>
          <w:b/>
        </w:rPr>
        <w:t>E. 3.2</w:t>
      </w:r>
    </w:p>
    <w:p>
      <w:r>
        <w:t>En l'espèce, le jugement attaqué ne comporte pas d'exposé des faits exhaustif. L'état de faits a été complété ci-dessus dans la partie EN FAIT, dans la mesure utile à la solution des questions demeurées litigieuses.</w:t>
      </w:r>
    </w:p>
    <w:p>
      <w:r>
        <w:t>- 18/21 -</w:t>
      </w:r>
    </w:p>
    <w:p>
      <w:r>
        <w:t>C/21106/2018 Cela étant, la décision n'indique pas clairement les faits qui sont établis et les déductions juridiques qui sont tirées de l'état de fait déterminant. Il ne se réfère à aucune norme légale, ni à aucune jurisprudence ou doctrine. La motivation au sujet du sort des enfants ne permet pas de comprendre quelles sont les raisons qui ont amené le Tribunal à restreindre les relations personnelles entre les parents et leurs quatre filles, notamment à réserver à la mère un droit de visite surveillé et médiatisé à exercer sur G______, F______ et H______ à raison d'une heure à quinzaine et sur E______ en fonction de l'évolution de son placement et des décisions prises par le Tribunal des mineurs. Le jugement n'expose pas non plus les motifs qui ont amené le Tribunal à limiter les contacts des parents, notamment de la mère, avec les enfants en dehors du droit de visite précité. De surcroît, il n'indique pas les raisons qui ont conduit le juge à assortir l'exercice des relations personnelles d'une menace de sanction au sens de l'art. 292 CP pour le cas où les parents, en particulier la mère, enfreindraient les modalités fixées. A ce sujet, la décision ne fait pas état des explications fournies par l'appelante lors de l'audience du 27 août 2019. Le jugement ne contient qu'un renvoi général au dossier du Tribunal de protection et la mention selon laquelle il n'appartenait pas au juge du divorce "d'apporter un autre éclairage". Il ne se réfère à aucun élément concret résultant du dossier pouvant justifier les restrictions et mesures imposées aux parents. La partie EN FAIT du jugement ne fait pas mention du courrier du 25 mars 2019 du SPMi au Tribunal de protection. L'on ignore donc si le Tribunal s'est fondé sur l'opinion exprimée par le SPMI et, dans l'affirmative, s'il a considéré que les faits exposés dans ledit courrier étaient établis. Par ailleurs, la décision querellée n'indique pas si des éléments (et dans ce cas, lesquels) du rapport du SEASP du 4 juin 2019, dont le contenu n'est pas résumé dans la partie EN FAIT, ont guidé la réflexion du Tribunal. Enfin, les arguments de l'appelante - qui faisait valoir que la situation familiale, et notamment sa propre relation avec ses filles, avaient évolué, de sorte que son droit de visite pouvait être élargi et s'exercer désormais à raison de quatre heures à quinzaine de manière individuelle avec chacune des filles, avec par exemple deux enfants par semaine - ne sont pas examinés. Dans la mesure où le Tribunal n'a pas mentionné, même brièvement, les motifs qui l'ont guidé et n'a pas satisfait à son devoir minimum d'examiner et de traiter les problèmes pertinents, l'appelante n'a pas été en mesure d'attaquer en connaissance de cause les points qu'elle conteste et la Cour ne peut pas exercer son contrôle. Le droit d'être entendue de l'appelante ayant été violé, les chiffres 10 et 11 du dispositif du jugement attaqué seront annulés. La cause sera renvoyée au Tribunal afin qu'il rende une décision motivée sur ces deux points, cas échéant après avoir procédé aux actes d'instruction qu'il estimerait nécessaire, tels l'audition des curateurs en charge du dossier au SPMi, l'établissement d'un rapport complémentaire du SEASP ou l'audition des enfants, si celles-ci devaient en exprimer le souhait.</w:t>
      </w:r>
    </w:p>
    <w:p>
      <w:r>
        <w:t>- 19/21 -</w:t>
      </w:r>
    </w:p>
    <w:p>
      <w:r>
        <w:t>C/21106/2018</w:t>
      </w:r>
    </w:p>
    <w:p>
      <w:r>
        <w:rPr>
          <w:b/>
        </w:rPr>
        <w:t>E. 4</w:t>
      </w:r>
    </w:p>
    <w:p>
      <w:r>
        <w:t>L'appelante fait grief au Tribunal de ne pas lui avoir imputé la totalité des bonifications pour tâches éducatives et d'avoir décidé que lesdites bonifications restaient "acquises à l'Etat".</w:t>
      </w:r>
    </w:p>
    <w:p>
      <w:r>
        <w:rPr>
          <w:b/>
        </w:rPr>
        <w:t>E. 4.1</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Selon la fiche thématique "Bonifications pour tâches éducatives" de l'AVS/AI disponible sur le site internet "https://www.ahv-iv.ch/p/1.07.f", les dispositions actuelles de la loi AVS prévoient que lors du calcul de la rente, d'éventuelles bonifications pour tâches éducatives peuvent être prises en compte. Ces bonifications ne sont pas des paiements en espèces, mais des revenus fictifs qui ne seront pris en compte qu'ultérieurement, au moment du calcul de la rente. De la sorte, les personnes qui ont des enfants à charge de moins de 16 ans ont la possibilité de recevoir une rente plus élevée. Le critère déterminant du droit à la bonification pour tâches éducatives est l'autorité parentale et si celle-ci est exercée conjointement par les deux parents, la prise en compte de la bonification pour tâches éducatives va dépendre du fait de savoir si les parents sont mariés, divorcés, ou "pas mariés ensemble", ainsi que de la mesure dans laquelle ils exercent l'autorité parentale à l'endroit des enfants communs. Pour les couples mariés, les bonifications pour tâches éducatives sont (obligatoirement) partagées par moitié durant les années civiles de mariage commun, pour autant que les deux conjoints soient assurés en Suisse. Si un seul des conjoints est assuré, la totalité de la bonification pour tâches éducatives est attribuée à celui-ci. Lors de chaque décision inhérente à l'autorité parentale conjointe, à l'attribution de la garde ou à la répartition des tâches, le tribunal ou l'autorité de protection de l'enfant et de l'adulte (APEA) décident également d'office de l'attribution des bonifications pour tâches éducatives. A cet effet, c'est au regard des tâches éducatives assumées pour les enfants communs qu'elles se prononcent sur le sort des bonifications pour tâches éducatives, les attribuant soit entièrement à l'un ou à l'autre des parents, soit par moitié à chacun d'eux (ACJC/1871/2019 du 13 décembre 2019 consid. 7.1).</w:t>
      </w:r>
    </w:p>
    <w:p>
      <w:r>
        <w:t>- 20/21 -</w:t>
      </w:r>
    </w:p>
    <w:p>
      <w:r>
        <w:t>C/21106/2018</w:t>
      </w:r>
    </w:p>
    <w:p>
      <w:r>
        <w:rPr>
          <w:b/>
        </w:rPr>
        <w:t>E. 4.2</w:t>
      </w:r>
    </w:p>
    <w:p>
      <w:r>
        <w:t>En l'espèce, il est nécessaire de statuer sur les relations personnelles, avant d'examiner la question de la bonification pour tâches éducatives. Il appartiendra au Tribunal de décider, en fonction de sa nouvelle décision au sujet du droit de visite de la mère, d'attribuer la bonification pour tâches éducatives intégralement à l'un des parents ou par moitié à chacun d'eux, seules solutions prévues par la loi. Il y a donc lieu d'annuler également le chiffre 13 du dispositif du jugement attaqué.</w:t>
      </w:r>
    </w:p>
    <w:p>
      <w:r>
        <w:rPr>
          <w:b/>
        </w:rPr>
        <w:t>E. 5.1</w:t>
      </w:r>
    </w:p>
    <w:p>
      <w:r>
        <w:t>Le Tribunal se prononcera à nouveau sur la répartition des frais en fonction de la solution du litige et en tenant compte du fait que l'intimé n'était pas au bénéfice de l'assistance judiciaire. Le deuxième paragraphe du chiffre 14 du dispositif du jugement attaqué sera donc aussi annulé.</w:t>
      </w:r>
    </w:p>
    <w:p>
      <w:r>
        <w:rPr>
          <w:b/>
        </w:rPr>
        <w:t>E. 5.2</w:t>
      </w:r>
    </w:p>
    <w:p>
      <w:r>
        <w:t>Les frais judiciaires d'appel seront fixés à 1'987 fr. 50, comprenant 1'000 fr. d'émolument forfaitaire de décision et 987 fr. 50 de frais de représentation des enfants (art. 95 al. 2 let. b et e CPC; art. 30 RTFMC). Dans la mesure où ils ne sont pas imputables aux parties, lesdits frais seront laissés à la charge de l'Etat de Genève (art. 107 al. 2 CPC).</w:t>
      </w:r>
    </w:p>
    <w:p>
      <w:r>
        <w:t>Compte tenu de la nature familiale du litige, chaque partie supportera ses propres dépens d'appel (art. 107 al. 1 let. c CPC). * * * * *</w:t>
      </w:r>
    </w:p>
    <w:p>
      <w:r>
        <w:t>- 21/21 -</w:t>
      </w:r>
    </w:p>
    <w:p>
      <w:r>
        <w:t>C/21106/2018 PAR CES MOTIFS, La Chambre civile : A la forme : Déclare recevable l'appel interjeté le 21 octobre 2019 par A______ contre les chiffres 10, 11 et 13 du dispositif du jugement JTPI/12764/2019 rendu le 16 septembre 2019 par le Tribunal de première instance dans la cause C/21106/2018-15. Au fond : Annule les chiffres 10, 11, 13 et 14 deuxième paragraphe du dispositif du jugement attaqué. Renvoie la cause au Tribunal de première instance afin qu'il statue à nouveau, dans le sens des considérants, sur les points mentionnés. Sur les frais : Arrête les frais judiciaires d'appel à 1'987 fr. 50 et les laisse à la charge de l'Etat de Genève. Invite les Services financiers du Pouvoir judiciaire à verser à J______ la somme de 987 fr. 50. Dit que chaque partie supporte ses propres dépens d'appel. 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