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ACJC/895/2016 vom 30. Juni 2016</w:t>
      </w:r>
    </w:p>
    <w:p>
      <w:r>
        <w:t>GE Cour de justice, 2016-06-30, FR</w:t>
      </w:r>
    </w:p>
    <w:p>
      <w:r>
        <w:rPr>
          <w:b/>
        </w:rPr>
        <w:t xml:space="preserve">Quelle: </w:t>
      </w:r>
      <w:r>
        <w:t>https://mcp.opencaselaw.ch/entscheid/ge_gerichte_ACJC_895_2016</w:t>
      </w:r>
    </w:p>
    <w:p>
      <w:r>
        <w:t>FR: GE_GERICHTE ACJC/895/2016 du 30 juin 2016</w:t>
      </w:r>
    </w:p>
    <w:p>
      <w:r>
        <w:t>IT: GE_GERICHTE ACJC/895/2016 del 30 giugno 2016</w:t>
      </w:r>
    </w:p>
    <w:p>
      <w:pPr>
        <w:pStyle w:val="Heading2"/>
      </w:pPr>
      <w:r>
        <w:t>Erwägungen</w:t>
      </w:r>
    </w:p>
    <w:p>
      <w:r>
        <w:rPr>
          <w:b/>
        </w:rPr>
        <w:t>E. 1.1</w:t>
      </w:r>
    </w:p>
    <w:p>
      <w:r>
        <w:t>L'appel formé par l'époux est recevable pour avoir été interjeté auprès de l'au- torité compétente (art. 120 al. 1 let. a LOJ), dans les délai et forme utiles (art. 130, 131, 142 al. 3, 248 let. d, 271 let. a, 311 et 314 al. 1 CPC) à l'encontre d'une décision sur mesures provisionnelles (art. 308 al. 1 let. b CPC) qui statue sur des prétentions tant patrimoniales (effet rétroactif des contributions d'entretien de la famille) que non patrimoniales (droit de visite), soit sur une affaire non pécuniaire dans son ensemble (arrêt du Tribunal fédéral 5A_765/2012 du 19 février 2013 consid. 1.1).</w:t>
      </w:r>
    </w:p>
    <w:p>
      <w:r>
        <w:rPr>
          <w:b/>
        </w:rPr>
        <w:t>E. 1.2</w:t>
      </w:r>
    </w:p>
    <w:p>
      <w:r>
        <w:t>Les jugements de mesures protectrices étant régis par la procédure sommaire selon l'art. 271 CPC, le délai d'introduction de l'appel est de dix jours (art. 314 al. 1 CPC).</w:t>
      </w:r>
    </w:p>
    <w:p>
      <w:r>
        <w:rPr>
          <w:b/>
        </w:rPr>
        <w:t>E. 1.3</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rPr>
          <w:b/>
        </w:rPr>
        <w:t>E. 2</w:t>
      </w:r>
    </w:p>
    <w:p>
      <w:r>
        <w:t>Les parties, de nationalités étrangères, sont domiciliées à Genève et ne remettent pas en cause, avec raison, la compétence des autorités judiciaires genevoises pour connaître du litige (art. 46 LDIP) ni l'application du droit suisse (art. 49 LDIP et art. 4 de la Convention de La Haye du 2 octobre 1973 sur la loi applicable aux obligations alimentaires [RS 0.211.213.01]).</w:t>
      </w:r>
    </w:p>
    <w:p>
      <w:r>
        <w:rPr>
          <w:b/>
        </w:rPr>
        <w:t>E. 3</w:t>
      </w:r>
    </w:p>
    <w:p>
      <w:r>
        <w:t>Les parties ont produit des pièces nouvelles à l'appui de leurs écritures respectives dans la procédure d'appel.</w:t>
      </w:r>
    </w:p>
    <w:p>
      <w:r>
        <w:rPr>
          <w:b/>
        </w:rPr>
        <w:t>E. 3.1</w:t>
      </w:r>
    </w:p>
    <w:p>
      <w:r>
        <w:t>Selon l'art. 317 al. 1 CPC, les faits et les moyens de preuve nouveaux ne sont pris en considération en appel que s'ils sont invoqués ou produits sans retard</w:t>
      </w:r>
    </w:p>
    <w:p>
      <w:r>
        <w:t>- 10/19 -</w:t>
      </w:r>
    </w:p>
    <w:p>
      <w:r>
        <w:t>C/13063/2015 (let. a) et s'ils ne pouvaient pas l'être devant la première instance bien que la partie qui s'en prévaut ait fait preuve de diligence (let. b). Dans les causes de droit matrimonial concernant des enfants mineurs, dans les- quelles les maximes d'office et inquisitoire illimitée s'appliquent (art. 296 CPC), la Cour admet tous les novas (ACJC/244/2015 du 6 mars 2015 consid. 3.3.1, ACJC/798/2014 du 27 juin 2014 consid. 2.2).</w:t>
      </w:r>
    </w:p>
    <w:p>
      <w:r>
        <w:rPr>
          <w:b/>
        </w:rPr>
        <w:t>E. 3.2</w:t>
      </w:r>
    </w:p>
    <w:p>
      <w:r>
        <w:t>En l'espèce, toutes les pièces nouvelles produites par les parties sont recevables, car elles concernent leurs situations financières et personnelles, lesquelles sont susceptibles d'influencer la contribution d'entretien mensuelle des enfants, en particulier du point de vue de son effet rétroactif.</w:t>
      </w:r>
    </w:p>
    <w:p>
      <w:r>
        <w:rPr>
          <w:b/>
        </w:rPr>
        <w:t>E. 4</w:t>
      </w:r>
    </w:p>
    <w:p>
      <w:r>
        <w:t>L'appelant conteste la restriction de son droit de visite sur ses enfants et reprend ses conclusions de première instance visant l'octroi d'un large droit de visite, ainsi qu'un contact téléphonique quotidien avec ses enfants.</w:t>
      </w:r>
    </w:p>
    <w:p>
      <w:r>
        <w:t>Il fait valoir que l'élargissement de son droit de visite, réservé par le Tribunal en fonction de l'issue de la procédure pénale, a été soumis à l'accord de son épouse, qui s'y oppose.</w:t>
      </w:r>
    </w:p>
    <w:p>
      <w:r>
        <w:t>L'intimée allègue l'existence d'un lien entre les soupçons d'abus qui pèsent sur l'appelant et les craintes de ses filles envers lui.</w:t>
      </w:r>
    </w:p>
    <w:p>
      <w:r>
        <w:rPr>
          <w:b/>
        </w:rPr>
        <w:t>E. 4.1</w:t>
      </w:r>
    </w:p>
    <w:p>
      <w:r>
        <w:t>Si les relations personnelles (art. 273 al. 1 CC) compromettent le dévelop- pement de l'enfant, si les père et mère qui les entretiennent violent leurs obligations, s'ils ne se sont pas souciés sérieusement de l'enfant ou s'il existe d'autres justes motifs, le droit d'entretenir ces relations peut leur être retiré ou refusé (art. 274 al. 2 CC). Ce refus ou ce retrait ne peut être demandé que si le bien de l'enfant l'exige impérieusement et qu'il est impossible de trouver une réglementation du droit de visite qui sauvegarde ses intérêts : la règle a pour objet de protéger l'enfant, et non de punir les parents.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grâce à la présence d'un tiers, le droit de la personnalité du parent non détenteur de l'autorité parentale, le principe de la proportionnalité et le sens des relations personnelles interdisent la suppression complète de ce droit (ATF 122 III 404 consid. 3b; arrêt du Tribunal fédéral 5A_401/2014 du 18 août 2014 consid. 3.2.2 et les références citées). L'établissement d'un droit de visite surveillé, comme le refus ou le retrait</w:t>
      </w:r>
    </w:p>
    <w:p>
      <w:r>
        <w:t>- 11/19 -</w:t>
      </w:r>
    </w:p>
    <w:p>
      <w:r>
        <w:t>C/13063/2015 du droit aux relations personnelles selon l'art. 274 al. 2 CC, nécessite des indices concrets de mise en danger du bien de l'enfant. Il ne suffit pas que ce dernier risque abstraitement de subir une mauvaise influence pour qu'un droit de visite surveillé soit instauré (ATF 122 III 404 consid. 3c; arrêt du Tribunal fédéral 5A_401/2014 du 18 août 2014 consid. 3.2.2 et les références citées).</w:t>
      </w:r>
    </w:p>
    <w:p>
      <w:r>
        <w:rPr>
          <w:b/>
        </w:rPr>
        <w:t>E. 4.2</w:t>
      </w:r>
    </w:p>
    <w:p>
      <w:r>
        <w:t>En l'espèce, personne ne conteste qu'il est dans l'intérêt des trois enfants d'entretenir des relations avec leur père et de renouer des contacts avec ce dernier.</w:t>
      </w:r>
    </w:p>
    <w:p>
      <w:r>
        <w:t>Le SPMi a préconisé l'exercice d'un droit de visite en milieu surveillé, mais les éléments de fait sur lesquels il a fondé son préavis ne sont plus d'actualité. En effet, les autorités pénales ont estimé qu'il n'existait pas de prévention suffisante à l'encontre de l'appelant suite notamment à une expertise de crédibilité ordonnée. En l'absence d'indices concrets de mise en danger du bien de l'aînée et, a fortiori, des deux autres enfants, l'exercice d'un droit de visite en milieu surveillé ne se justifie pas pour ce motif-là déjà.</w:t>
      </w:r>
    </w:p>
    <w:p>
      <w:r>
        <w:t>Par ailleurs, l'"état alcoolisé" de l'appelant avait été constaté le 10 septembre 2013 par la police et été relevé par le SPMi durant le week-end des 11 et 12 juillet 2015, mais ni ce Service ni l'intimée ne s'en sont prévalus aux fins de limiter son droit aux relations personnelles. Il convient dès lors d'en inférer qu'une dépendance à l'alcool de l'appelant n'est pas rendue suffisamment vraisemblable, de sorte que le bien des enfants n'apparaît pas menacé par l'exercice de relations personnelles hors cadre contraignant.</w:t>
      </w:r>
    </w:p>
    <w:p>
      <w:r>
        <w:t>Cela étant, l'appelant et ses enfants n'ont plus eu de contact suivi depuis le mois d'août 2015, hormis les rencontres familiales des ______ décembre 2015 et ______ février 2016.</w:t>
      </w:r>
    </w:p>
    <w:p>
      <w:r>
        <w:t>Un rétablissement progressif des visites doit donc être prévu, dans l'intérêt bien compris des trois enfants et en tenant compte du très jeune âge du dernier. Afin que chacun d'eux puisse renouer un lien de confiance avec leur père, il est conforme à leur intérêt que le droit de visite s'exerce, en premier lieu, sauf accord contraire des parties et du curateur, à raison des samedis et dimanches après-midis de 14 h à 18 h, en présence de la mère ou d'une personne ayant la confiance des parties, durant deux week-ends pendant un mois.</w:t>
      </w:r>
    </w:p>
    <w:p>
      <w:r>
        <w:t>Ensuite, le droit de visite s'exercera librement le mercredi suivant ces deux-week- ends non consécutifs, sauf pour le plus jeune qui n'est pas scolarisé, après l'école jusqu'à 18 h, puis, le week-end de la semaine suivante, de 10 h le samedi jusqu'à 18 h le dimanche, sauf pour le plus jeune qui ne passera pas la nuit, ce jusqu'à préavis favorable du curateur pour un élargissement selon les modalités ci-après.</w:t>
      </w:r>
    </w:p>
    <w:p>
      <w:r>
        <w:t>Enfin, le droit de visite s'exercera chaque mercredi pour l'ensemble de la fratrie de la sortie de l'école jusqu'à 18 h, puis un week-end sur deux et durant la moitié des</w:t>
      </w:r>
    </w:p>
    <w:p>
      <w:r>
        <w:t>- 12/19 -</w:t>
      </w:r>
    </w:p>
    <w:p>
      <w:r>
        <w:t>C/13063/2015 vacances scolaires, étant précisé que le curateur déterminera les horaires selon le bien des enfants.</w:t>
      </w:r>
    </w:p>
    <w:p>
      <w:r>
        <w:t>Par ailleurs, il convient d'autoriser l'appelant à téléphoner chaque jour à ses enfants à 18h30, ainsi que l'intimée l'a admis à l'audience du 8 septembre 2015.</w:t>
      </w:r>
    </w:p>
    <w:p>
      <w:r>
        <w:t>L'appel est ainsi partiellement fondé, de sorte que le ch. 4 du dispositif du jugement entrepris sera modifié dans ce sens.</w:t>
      </w:r>
    </w:p>
    <w:p>
      <w:r>
        <w:rPr>
          <w:b/>
        </w:rPr>
        <w:t>E. 5</w:t>
      </w:r>
    </w:p>
    <w:p>
      <w:r>
        <w:t>L'appelant ne remet pas en cause la quotité de la contribution d'entretien pour ses enfants, mais sollicite la suppression de son obligation de la verser à titre rétroactif, dès le 26 juin 2015, jour du dépôt de la requête de mesures protectrices de l'union conjugale, invoquant l'absence de moyens financiers pour ce faire. Il rappelle avoir contribué à l'entretien de ses enfants en nature et en espèces durant la séparation des parties.</w:t>
      </w:r>
    </w:p>
    <w:p>
      <w:r>
        <w:t>L'intimée s'y oppose, au motif qu'elle doit rembourser une dette de 4'278 fr. envers le Service des prestations complémentaires.</w:t>
      </w:r>
    </w:p>
    <w:p>
      <w:r>
        <w:rPr>
          <w:b/>
        </w:rPr>
        <w:t>E. 5.1</w:t>
      </w:r>
    </w:p>
    <w:p>
      <w:r>
        <w:t>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 A teneur de l'art. 285 al. 1 CC, la contribution d'entretien doit correspondre aux besoins de l'enfant ainsi qu'à la situation et aux ressources des père et mère.</w:t>
      </w:r>
    </w:p>
    <w:p>
      <w:r>
        <w:t>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citées; BASTONS BULLETTI, L'entretien après divorce : Méthodes de calcul, montant, durée et limites in SJ 2007 II 77, p. 81).</w:t>
      </w:r>
    </w:p>
    <w:p>
      <w:r>
        <w:t>Les charges incompressibles du débiteur doivent être arrêtées selon les normes d'insaisissabilité (RS/GE E 3 60.04) et tenir notamment compte du loyer, des cotisations d'assurance maladie et des impôts. Le coût du logement doit être réparti entre le parent gardien et les enfants. Pour ce faire, il est possible de prendre en considération 20% du loyer raisonnable pour un enfant et 30% pour deux enfants (BASTONS BULLETTI, op. cit., p. 102, n. 140).</w:t>
      </w:r>
    </w:p>
    <w:p>
      <w:r>
        <w:t>Lorsque les ressources disponibles ne permettent pas de couvrir les besoins essentiels de la famille, il doit être fait abstraction de la charge fiscale du débirentier (ATF 140 III 337 consid. 2.3 et 4.4, arrêt du Tribunal fédéral</w:t>
      </w:r>
    </w:p>
    <w:p>
      <w:r>
        <w:t>- 13/19 -</w:t>
      </w:r>
    </w:p>
    <w:p>
      <w:r>
        <w:t>C/13063/2015 5A_219/2014 du 26 juin 2014 consid. 4.2.1). D'autre part, seules les charges effectives, dont le débirentier s'acquitte réellement, doivent être prises en compte (ATF 121 III 20 consid. 3a; arrêt du Tribunal fédéral 5A_65/2013 du 4 septembre 2013 consid. 3.2.1).</w:t>
      </w:r>
    </w:p>
    <w:p>
      <w:r>
        <w:t>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(ATF 127 III 289 consid. 2a/bb et les références citées). L'obligation d'entretien trouve sa limite dans la capacité contributive du débirentier, en ce sens que le minimum vital de celui-ci doit être préservé (ATF 135 III 66 consid. 2; arrêt du Tribunal fédéral 5A_662/2013 du 24 juin 2014 consid. 3.2.1).</w:t>
      </w:r>
    </w:p>
    <w:p>
      <w:r>
        <w:t>En outre,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 du Tribunal fédéral 5A_458/2014 du 8 septembre 2014 consid. 4.1.2 et les références citées). Lorsque les conclusions ne précisent pas la date à partir de laquelle les contributions sont réclamées, il n'est pas arbitraire de retenir qu'elles le sont à compter du jour du dépôt de la requête (arrêt du Tribunal fédéral 5A_458/2014 du 8 septembre 2014 consid. 4.1.2 et les références citées).</w:t>
      </w:r>
    </w:p>
    <w:p>
      <w:r>
        <w:rPr>
          <w:b/>
        </w:rPr>
        <w:t>E. 5.2</w:t>
      </w:r>
    </w:p>
    <w:p>
      <w:r>
        <w:t>En l'espèce, le Tribunal a fixé une contribution d'entretien de 400 fr. par enfant sur la base du salaire mensuel net de l'appelant (3'543 fr.) et de ses charges mensuelles (1'616 fr.), soit un disponible mensuel de 1'927 fr., qui lui permettait d'assumer un total de 1'200 fr. par mois au titre de l'entretien de ses enfants.</w:t>
      </w:r>
    </w:p>
    <w:p>
      <w:r>
        <w:t>Toutefois, le premier juge a omis de considérer le licenciement de l'appelant et la diminution de son revenu à partir du 1er février 2016, évoquée en première instance, que ce soit en raison du nouvel emploi à temps partiel (80%) ou en raison de sa situation de chômage, impliquant une diminution de son revenu mensuel net (composé de 3'543 fr. en espèces augmenté de la retenue sur son salaire de 2'200 fr. pour son appartement de fonction, soit 5'743 fr. au total) à 4'594 fr. (5'743 fr. x 80%) et lui laissant, après déduction de ses charges mensuelles estimées à 1'927 fr. par le premier juge (soit base mensuelle d'entretien : 1'200 fr., assurance maladie obligatoire : 380 fr., frais de transport : 70 fr., impôts : 27 fr., arriérés d'impôts : 100 fr. et remboursement de certaines dettes : 150 fr.), un solde de 2'667 fr. non compris sa charge mensuelle de loyer en 2'200 fr. à l'époque, soit un disponible mensuel de 467 fr. insuffisant pour lui</w:t>
      </w:r>
    </w:p>
    <w:p>
      <w:r>
        <w:t>- 14/19 -</w:t>
      </w:r>
    </w:p>
    <w:p>
      <w:r>
        <w:t>C/13063/2015 permettre d'assumer la somme totale de 1'200 fr. à titre de contribution d'entretien pour ses enfants, sans entamer son minimum vital.</w:t>
      </w:r>
    </w:p>
    <w:p>
      <w:r>
        <w:t>La situation financière de l'appelant ne lui permet pas d'assumer une contribution à l'entretien de ses enfants de 400 fr. par mois et par enfant sans porter atteinte à son minimum vital élargi. Il est nécessaire, par conséquent, de réexaminer d'office le montant de la contribution d'entretien qui pourrait être due, ce d'autant plus que le Tribunal a en outre omis de déduire les allocations familiales de leurs charges mensuelles et aurait dû leur imputer une participation au loyer supérieure à 30%, puisque les trois enfants logent avec leur mère.</w:t>
      </w:r>
    </w:p>
    <w:p>
      <w:r>
        <w:t>Il s'ensuit que les charges mensuelles de ceux-ci totalisent 1'882 fr. (base mensuelle d'entretien : 400 fr. x 3, 40% du loyer de 1'548 fr., soit 619 fr., primes d'assurances-maladie, après déduction des subsides : [26 fr. x 2] + 11 fr.), respectivement 882 fr. après déduction de leurs allocations familiales (soit 300 fr. pour C______, respectivement pour D______ et 400 fr. pour E______, selon l'art.</w:t>
      </w:r>
    </w:p>
    <w:p>
      <w:r>
        <w:rPr>
          <w:b/>
        </w:rPr>
        <w:t>E. 5.2.1</w:t>
      </w:r>
    </w:p>
    <w:p>
      <w:r>
        <w:t>Jusqu'au 31 janvier 2016, le revenu mensuel net de l'appelant totalisait 5'743 fr. (3'543 fr. + 2'200 fr.), puis, à partir de février 2016, il s'est réduit à 4'594 fr. avec les indemnités de chômage et ses charges mensuelles comprennent aussi le nouveau loyer en 2'285 fr.</w:t>
      </w:r>
    </w:p>
    <w:p>
      <w:r>
        <w:t>Dès février 2016, ses charges mensuelles ont ainsi augmenté à 3'935 fr. (base mensuelle d'entretien : 1'200 fr., loyer de l'appartement de six pièces : 2'285 fr., prime d'assurance maladie obligatoire : 380 fr., frais de transport : 70 fr.), soit un disponible mensuel de 659 fr.</w:t>
      </w:r>
    </w:p>
    <w:p>
      <w:r>
        <w:t>Les acomptes provisionnels d'impôts sont écartés, parce que ce disponible ne permet pas à l'appelant d'assumer le budget mensuel de ses enfants. Il en va de même pour l'arriéré d'impôts, de surcroît vraisemblablement réglé depuis le 18 mai 2015. Enfin, le remboursement de certaines dettes pour 150 fr. par mois doit être exclu, parce qu'il ne concerne pas l'entretien des parties et que l'intimée ne répond pas solidairement de celui-ci.</w:t>
      </w:r>
    </w:p>
    <w:p>
      <w:r>
        <w:t>Par conséquent, la contribution mensuelle due à partir du 1er février 2016 sera réduite à 200 fr. par enfant dès le 1er février 2016, compte tenu de la nécessité de préserver le minimum vital élargi de l'appelant.</w:t>
      </w:r>
    </w:p>
    <w:p>
      <w:r>
        <w:rPr>
          <w:b/>
        </w:rPr>
        <w:t>E. 5.2.2</w:t>
      </w:r>
    </w:p>
    <w:p>
      <w:r>
        <w:t>S'agissant du montant relatif à la période allant du 26 juin 2015, date du dépôt de la requête de mesures protectrices de l'union conjugale jusqu'au 31 janvier 2016, date à laquelle il a perdu son emploi, la situation financière de l'appelant se présentait comme suit :</w:t>
      </w:r>
    </w:p>
    <w:p>
      <w:r>
        <w:t>- 15/19 -</w:t>
      </w:r>
    </w:p>
    <w:p>
      <w:r>
        <w:t>C/13063/2015</w:t>
      </w:r>
    </w:p>
    <w:p>
      <w:r>
        <w:t>- revenu mensuel net de 3'543 fr., après déduction du loyer de son appartement de fonction (2'200 fr.);</w:t>
      </w:r>
    </w:p>
    <w:p>
      <w:r>
        <w:t>- charges mensuelles en 1'727 fr. (base mensuelle d'entretien : 1'200 fr., prime d'assurance maladie obligatoire : 380 fr., frais de transport : 70 fr., impôts : 27 fr., arriérés d'impôts réglés durant cette période : 50 fr., sans le loyer, déjà déduit de son salaire), soit un disponible mensuel de 1'816 fr., qui lui permettait ainsi de verser une contribution mensuelle d'entretien pour ses enfants de 400 fr. pour chacun d'entre eux et 1'200 fr. au total.</w:t>
      </w:r>
    </w:p>
    <w:p>
      <w:r>
        <w:t>Le montant relatif à cette période totalise 8'400 fr. (1'200 fr. x 7 mois) et il se justifie de condamner l'appelant à le verser à titre de contribution d'entretien pour ses enfants, dès lors qu'il savait, depuis la séparation des parties intervenue en juin 2015 et, a fortiori, depuis le dépôt de la requête de mesures protectrices de l'union conjugale du 26 juin 2015, qu'il serait tenu de participer à leur entretien. Il leur a, au demeurant, fourni une contribution partielle en nature et en espèces, qui sera déduite de ce montant de 8'400 fr.</w:t>
      </w:r>
    </w:p>
    <w:p>
      <w:r>
        <w:rPr>
          <w:b/>
        </w:rPr>
        <w:t>E. 5.2.3</w:t>
      </w:r>
    </w:p>
    <w:p>
      <w:r>
        <w:t>Selon la jurisprudence, seules peuvent être déduites les charges qui ont été prises en compte dans la détermination de la contribution, à l'exclusion des versements qui excèdent l'entretien défini dans ce cadre (art. 125 ch. 2 CO; arrêt du Tribunal fédéral 5A_810/2012 du 22 mars 2013 consid. 3.2).</w:t>
      </w:r>
    </w:p>
    <w:p>
      <w:r>
        <w:t>Les montants à porter en déduction sont ainsi les suivants : les 200 fr. reçus le 18 juin 2015 par l'intimée, les 5'402 fr. perçus par celle-ci à titre de contribution d'entretien et les 200 fr. d'achats effectués en nature pour les enfants, soit un total de 5'802 fr., à l'exclusion des primes d'assurances-maladie complémentaires, d'une part, parce que celle de l'enfant n'est pas incluse dans ses charges mensuelles et, d'autre part, parce que celle de l'épouse n'est pas relevante, puisqu'elle a renoncé à une contribution d'entretien pour elle-même.</w:t>
      </w:r>
    </w:p>
    <w:p>
      <w:r>
        <w:t>Le solde dû au titre de la contribution d'entretien pour les enfants pour la période du 26 juin 2015 au 31 janvier 2016 se monte ainsi à 2'598 fr. (8'400 fr. – 5'802 fr.).</w:t>
      </w:r>
    </w:p>
    <w:p>
      <w:r>
        <w:t>Par ailleurs, les allocations familiales dues au cours de cette période se montent à 7'000 fr. (7 mois x 1'000 fr.) et il a déjà reversé à l'intimée le montant total de 5'000 fr. d'allocations familiales, de sorte qu'il lui doit encore un solde de 2'000 fr. à ce titre.</w:t>
      </w:r>
    </w:p>
    <w:p>
      <w:r>
        <w:t>L'appel est partiellement fondé, d'une part, en raison de l'atteinte à son minimum vital qui réduit le montant des contributions d'entretien dues à partir du 1er février 2016 et, d'autre part, en raison de la prise en considération d'un montant plus élevé, soit 5'802 fr. au lieu de 5'400 fr., à porter en déduction de l'arriéré dû. Le ch. 6 du dispositif du jugement entrepris sera modifié dans ce sens.</w:t>
      </w:r>
    </w:p>
    <w:p>
      <w:r>
        <w:t>- 16/19 -</w:t>
      </w:r>
    </w:p>
    <w:p>
      <w:r>
        <w:t>C/13063/2015 6. Les parties sollicitent le prononcé de la séparation de biens.</w:t>
      </w:r>
    </w:p>
    <w:p>
      <w:r>
        <w:t>6.1 Selon de l'art. 176 al. 1 ch. 3 CC, le juge ordonne la séparation de biens si les circonstances le justifient.</w:t>
      </w:r>
    </w:p>
    <w:p>
      <w:r>
        <w:t>La séparation de biens prend effet au jour du dépôt de la requête (ACJC/173/2016 du 12 février 2016 consid. 6.1). Selon la jurisprudence, la séparation de biens constitue une mesure très incisive qui aggrave plus qu'elle ne facilite le but des mesures protectrices de l'union conjugale, à savoir la réunification des époux, raison pour laquelle elle en devrait être prononcée qu'avec beaucoup de retenue. Le sens et le but de ces mesures est de permettre aux époux de se réconcilier, parer à des difficultés futures ou résoudre les litiges actuels et éviter que leur discorde ne conduise à une désunion totale. La mise en péril des intérêts économiques de la partie requérante doit se trouver au premier plan, le juge ne pouvant faire droit au simple souhait de celle-ci sans tenir compte de la situation concrète, en rendant une décision relevant de son seul pouvoir d'appréciation (ATF 116 II 21 consid. 3 et 4, JdT 1990 II 330).</w:t>
      </w:r>
    </w:p>
    <w:p>
      <w:r>
        <w:t>Il convient ainsi de ne prononcer la séparation de biens qu'en présence d'éléments objectifs démontrant que le maintien du régime actuel de la participation aux acquêts est susceptible de mettre en danger les intérêts économiques de l'un des conjoints (arrêts du Tribunal fédéral arrêt du Tribunal fédéral 5A_371/2013 du</w:t>
      </w:r>
    </w:p>
    <w:p>
      <w:r>
        <w:rPr>
          <w:b/>
        </w:rPr>
        <w:t>E. 8</w:t>
      </w:r>
    </w:p>
    <w:p>
      <w:r>
        <w:t>al. 2 let. a et al. 4 let. b de la loi genevoise du 1er mars 1996 sur les allocations familiales [LAF, RS/GE J 5 10]). Le budget mensuel des enfants est ainsi de 300 fr. pour chacun d'entre eux.</w:t>
      </w:r>
    </w:p>
    <w:p>
      <w:r>
        <w:rPr>
          <w:b/>
        </w:rPr>
        <w:t>E. 13</w:t>
      </w:r>
    </w:p>
    <w:p>
      <w:r>
        <w:t>septembre 2013 consid. 4.1 et 5P.403/2001 du 19 avril 2002 consid. 5). Le fait que la désunion du couple apparaisse comme étant irrémédiable ne suffit pas (arrêt du Tribunal fédéral 5A_371/2013 du 13 septembre 2013 consid. 4.1).</w:t>
      </w:r>
    </w:p>
    <w:p>
      <w:r>
        <w:t>Certes, dans son arrêt ACJC 173/2016 du 12 février 2016 consid. 3.3, la Cour de céans a refusé le prononcé de la séparation de biens demandée d'un commun accord par les parties en litige sur mesures protectrices de l'union conjugale, parce qu'une demande en divorce était déjà pendante, de sorte que la liquidation de leur régime matrimonial devait intervenir à brève échéance, d'une part, et, d'autre part, parce qu'une atteinte à leurs intérêts patrimoniaux n'avait pas été rendue vraisemblable.</w:t>
      </w:r>
    </w:p>
    <w:p>
      <w:r>
        <w:t>6.2 En l'espèce cependant, la Cour retient que la finalité d es mesures protectrices de l'union conjugale a évolué en ce sens qu'elles servent moins à permettre la réunification du couple qu'à régir provisoirement la situation personnelle et financière de la famille durant l'attente du délai de deux ans permettant de former une action en divorce. Il s'ensuit que, lorsque les parties sont d'accord avec le prononcé de la séparation de biens, le juge doit pouvoir y faire droit sans devoir examiner l'existence de circonstances mettant en danger leur situation économique, ce d'autant plus que ce chef de conclusions est à leur libre disposition (art. 58 al. 2 CPC).</w:t>
      </w:r>
    </w:p>
    <w:p>
      <w:r>
        <w:t>La séparation de biens sera ainsi prononcée avec effet rétroactif au 26 juin 2015.</w:t>
      </w:r>
    </w:p>
    <w:p>
      <w:r>
        <w:t>- 17/19 -</w:t>
      </w:r>
    </w:p>
    <w:p>
      <w:r>
        <w:t>C/13063/2015</w:t>
      </w:r>
    </w:p>
    <w:p>
      <w:r>
        <w:t>Le ch. 11 du dispositif du jugement entrepris sera dès lors également annulé et modifié dans ce sens. 7. 7.1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 mière instance (art. 318 al. 3 CPC). 7.2 En l'espèce, les frais de première instance et leur répartition, conformes aux normes précitées et non contestés, seront confirmés.</w:t>
      </w:r>
    </w:p>
    <w:p>
      <w:r>
        <w:t>7.2.1 Les frais judiciaires d'appel seront fixés à 1'250 fr. (art. 96 CPC, art. 31 et 35 du Règlement fixant le tarif des greffes en matière civile, RTFMC - E 1 05.10).</w:t>
      </w:r>
    </w:p>
    <w:p>
      <w:r>
        <w:t>Dans la mesure où les parties plaident au bénéfice de l'assistance juridique, les frais judiciaires seront provisoirement supportés par l'Etat.</w:t>
      </w:r>
    </w:p>
    <w:p>
      <w:r>
        <w:t>Il sera rappelé que les bénéficiaires de l'assistance juridique sont tenus au remboursement des frais judiciaires mis à la charge de l'Etat dans la mesure de l'art. 123 CPC.</w:t>
      </w:r>
    </w:p>
    <w:p>
      <w:r>
        <w:t>Compte tenu de l’issue du litige, ces frais seront répartis à parts égales entre chacune des parties, lesquelles conserveront à leur charge leur propres dépens (art. 104 al. 1, 105 al. 1 et 107 al. 1 let. c CPC). * * * * *</w:t>
      </w:r>
    </w:p>
    <w:p>
      <w:r>
        <w:t>- 18/19 -</w:t>
      </w:r>
    </w:p>
    <w:p>
      <w:r>
        <w:t>C/13063/2015</w:t>
      </w:r>
    </w:p>
    <w:p>
      <w:r>
        <w:t>PAR CES MOTIFS, La Chambre civile : A la forme : Déclare recevable l'appel interjeté par A______ contre les chiffres 4, 6 et 11 du dispositif du jugement JTPI/353/2016 rendu le 14 janvier 2016 par le Tribunal de première instance dans la cause C/13063/2015-6. Au fond : Annule les chiffres 4, 6 et 11 du dispositif de ce jugement et, statuant à nouveau : Réserve à A______ un droit de visite sur ses trois enfants, qui s'exercera, sauf accord contraire du curateur et des parties, à raison des samedis et dimanches après-midis de</w:t>
      </w:r>
    </w:p>
    <w:p>
      <w:r>
        <w:rPr>
          <w:b/>
        </w:rPr>
        <w:t>E. 14</w:t>
      </w:r>
    </w:p>
    <w:p>
      <w:r>
        <w:t>h à 18 h, en présence de B______ ou d'une personne ayant la confiance des parties, durant deux week-ends pendant un mois. Dit que ce droit de visite sera progressivement élargi et s'exercera librement le mercredi suivant ces deux-week-ends non consécutifs, sauf pour l'enfant E______, après l'école jusqu'à 18 h., puis, le week-end de la semaine suivante, de 10 h le samedi jusqu'à 18 h le dimanche, sauf pour E______, qui ne passera pas la nuit, jusqu'à préavis favorable du curateur à un élargissement selon les modalités ci-dessous. Dit que ce droit de visite s'exercera ensuite chaque mercredi pour l'ensemble de la fratrie, de la sortie de l'école jusqu'à 18 h., puis un week-end sur deux et durant la moitié des vacances scolaires. Dit qu'A______ est autorisé à téléphoner chaque jour à ses enfants à 18h30. Condamne A______ à verser à B______, pour la période allant du 26 juin 2015 au 31 janvier 2016, le solde de 2'598 fr. au titre de l'entretien de ses enfants, ainsi que le solde de 2'000 fr. au titre des allocations familiales. Condamne A______ à verser à B______, à titre de contribution à l'entretien de ses enfants, par mois, d'avance et par enfant, allocations familiales non comprises, la somme de 200 fr. dès le 1er février 2016. Prononce la séparation de biens des parties avec effet au 26 juin 2015. Déboute les parties de toutes autres conclusions.</w:t>
      </w:r>
    </w:p>
    <w:p>
      <w:r>
        <w:t>- 19/19 -</w:t>
      </w:r>
    </w:p>
    <w:p>
      <w:r>
        <w:t>C/13063/2015 Sur les frais : Arrête les frais judiciaires de la procédure d'appel à 1'250 fr. et les met à la charge d'A______ et de B______ à parts égales entre eux. Dit que ces frais sont provisoirement supportés par l'Etat de Genève, vu l'assistance juridique. Dit que chaque partie supporte ses propres dépens d'appel.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