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ACJC/894/2013 vom 14. Februar 2013</w:t>
      </w:r>
    </w:p>
    <w:p>
      <w:r>
        <w:t>GE Cour de justice, 2013-02-14, FR</w:t>
      </w:r>
    </w:p>
    <w:p>
      <w:r>
        <w:rPr>
          <w:b/>
        </w:rPr>
        <w:t xml:space="preserve">Quelle: </w:t>
      </w:r>
      <w:r>
        <w:t>https://mcp.opencaselaw.ch/entscheid/ge_gerichte_ACJC_894_2013</w:t>
      </w:r>
    </w:p>
    <w:p>
      <w:r>
        <w:t>FR: GE_GERICHTE ACJC/894/2013 du 14 février 2013</w:t>
      </w:r>
    </w:p>
    <w:p>
      <w:r>
        <w:t>IT: GE_GERICHTE ACJC/894/2013 del 14 febbraio 2013</w:t>
      </w:r>
    </w:p>
    <w:p>
      <w:pPr>
        <w:pStyle w:val="Heading2"/>
      </w:pPr>
      <w:r>
        <w:t>Erwägungen</w:t>
      </w:r>
    </w:p>
    <w:p>
      <w:r>
        <w:rPr>
          <w:b/>
        </w:rPr>
        <w:t>E. 3</w:t>
      </w:r>
    </w:p>
    <w:p>
      <w:r>
        <w:t>A teneur de l'art. 22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w:t>
      </w:r>
    </w:p>
    <w:p>
      <w:r>
        <w:t>- 6/6 -</w:t>
      </w:r>
    </w:p>
    <w:p>
      <w:r>
        <w:t>C/16126/2012 PAR CES MOTIFS, La Chambre des baux et loyers : A la forme : Déclare recevable le recours interjeté par A.______ contre le jugement JTBL/135/2013 rendu le 14 février 2013 par le Tribunal des baux et loyers dans la cause C/16126/2012-</w:t>
      </w:r>
    </w:p>
    <w:p>
      <w:r>
        <w:rPr>
          <w:b/>
        </w:rPr>
        <w:t>E. 4</w:t>
      </w:r>
    </w:p>
    <w:p>
      <w:r>
        <w:t>Au fond : Rejette ce recours. Dit que la procédure est gratuite. Déboute les parties de toutes autres conclusions. Siégeant : Madame Nathalie LANDRY-BARTHE, présidente; Monsieur Blaise PAGAN et Madame Elena SAMPEDRO, juges; Monsieur Mark MULLER et Monsieur Thierry STICHER, juges assesseurs; Madame Maïté VALENTE, greffière.</w:t>
      </w:r>
    </w:p>
    <w:p>
      <w:r>
        <w:t>La présidente : Nathalie LANDRY-BARTHE</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