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ACJC/892/2016 vom 12. Juli 2016</w:t>
      </w:r>
    </w:p>
    <w:p>
      <w:r>
        <w:t>GE Cour de justice, 2016-07-12, FR</w:t>
      </w:r>
    </w:p>
    <w:p>
      <w:r>
        <w:rPr>
          <w:b/>
        </w:rPr>
        <w:t xml:space="preserve">Quelle: </w:t>
      </w:r>
      <w:r>
        <w:t>https://mcp.opencaselaw.ch/entscheid/ge_gerichte_ACJC_892_2016</w:t>
      </w:r>
    </w:p>
    <w:p>
      <w:r>
        <w:t>FR: GE_GERICHTE ACJC/892/2016 du 12 juillet 2016</w:t>
      </w:r>
    </w:p>
    <w:p>
      <w:r>
        <w:t>IT: GE_GERICHTE ACJC/892/2016 del 12 luglio 2016</w:t>
      </w:r>
    </w:p>
    <w:p>
      <w:pPr>
        <w:pStyle w:val="Heading2"/>
      </w:pPr>
      <w:r>
        <w:t>Erwägungen</w:t>
      </w:r>
    </w:p>
    <w:p>
      <w:r>
        <w:rPr>
          <w:b/>
        </w:rPr>
        <w:t>E. 1</w:t>
      </w:r>
    </w:p>
    <w:p>
      <w:r>
        <w:t>1.1.1 Dans les affaires patrimoniales, l'appel est recevable contre les décisions finales de première instance si la valeur litigieuse est de 10'000 fr. au moins (art. 308 al. 1 let. b et al. 2 CPC). Pour le calcul de la valeur litigieuse devant l'instance d'appel, sont déterminantes les dernières conclusions prises devant la juridiction de première instance (art. 308 al. 2 CPC; arrêt du Tribunal fédéral 5A_261/2013 du 19 septembre 2013 consid. 3.3). Un litige portant sur la suppression et/ou l'élagage d'arbres dans le cadre d'un rapport de voisinage est de nature pécuniaire. La valeur litigieuse équivaut à</w:t>
      </w:r>
    </w:p>
    <w:p>
      <w:r>
        <w:t>- 9/24 -</w:t>
      </w:r>
    </w:p>
    <w:p>
      <w:r>
        <w:t>C/21189/2013 l'augmentation de valeur que l'abattage et/ou l'élagage procurerait au fonds de la partie demanderesse ou, si elle est plus élevée, à la diminution de valeur qu'il entraînerait pour le fonds de la partie défenderesse (arrêts du Tribunal fédéral 5A_749/2007 du 2 juin 2008 consid. 1.2; 5C.200/2005 du 21 octobre 2005 consid. 1.2 non publié aux ATF 132 III 6). 1.1.2 En l'espèce, les dernières conclusions prises devant la juridiction de première instance portaient notamment sur l'enlèvement et/ou l'élagage de différents arbres et plantations ainsi que sur la radiation d'une servitude de vue droite. Les parties n'ont formulé aucun allégué sur la modification de la valeur de leurs parcelles respectives suivant le sort donné à ces conclusions. Il résulte cependant du dossier que certains des arbres et plantations visés obturent en partie la vue panoramique exceptionnelle dont dispose la villa des intimés. Suivant le sort donné aux conclusions précitées, la vue depuis la parcelle de ceux-ci en sera modifiée, ce qui aura pour effet d'en augmenter ou diminuer la valeur d'un montant ne pouvant être inférieur à 10'000 fr., au vu des prix élevés pratiqués dans le canton et en particulier sur la commune de E______, A l'inverse, suivant le sort donné aux conclusions précitées, il en résultera une modification du rideau de verdure séparant les parcelles, de même que de l'intimité en résultant et de la faculté de construire dans la zone faisant l'objet de la servitude, ayant un effet sur la valeur de la parcelle des appelants d'un montant ne pouvant pas non plus être inférieur à 10'000 fr., pour les motifs déjà relevés. La voie de l'appel est donc ouverte aux deux parties. Interjetés pour le surplus selon la forme et le délai prescrits par la loi (art. 311 al. 1 CPC), les appels sont recevables.</w:t>
      </w:r>
    </w:p>
    <w:p>
      <w:r>
        <w:rPr>
          <w:b/>
        </w:rPr>
        <w:t>E. 1.2</w:t>
      </w:r>
    </w:p>
    <w:p>
      <w:r>
        <w:t>Par économie de procédure, les appels seront traités dans le même arrêt (art. 125 CPC).</w:t>
      </w:r>
    </w:p>
    <w:p>
      <w:r>
        <w:rPr>
          <w:b/>
        </w:rPr>
        <w:t>E. 1.3</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Dès lors, les chiffres 2 et 3 du dispositif du jugement querellé, non remis en cause par les parties, sont entrés en force de chose jugée.</w:t>
      </w:r>
    </w:p>
    <w:p>
      <w:r>
        <w:rPr>
          <w:b/>
        </w:rPr>
        <w:t>E. 1.4</w:t>
      </w:r>
    </w:p>
    <w:p>
      <w:r>
        <w:t>La Cour revoit la cause en fait et en droit avec un plein pouvoir d'examen (art. 310 CPC). Dans la mesure des conclusions prises en appel (art. 315 al. 1 CPC), elle applique la maxime des débats et le principe de disposition (art. 55 al. 1 et 58 al. 1 CPC).</w:t>
      </w:r>
    </w:p>
    <w:p>
      <w:r>
        <w:rPr>
          <w:b/>
        </w:rPr>
        <w:t>E. 2.1</w:t>
      </w:r>
    </w:p>
    <w:p>
      <w:r>
        <w:t>La Cour examine en principe d'office la recevabilité des faits et moyens de preuve nouveaux ainsi que des conclusions nouvelles en appel (REETZ/HILBER,</w:t>
      </w:r>
    </w:p>
    <w:p>
      <w:r>
        <w:t>- 10/24 -</w:t>
      </w:r>
    </w:p>
    <w:p>
      <w:r>
        <w:t>C/21189/2013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Aux termes de l'art. 317 al. 2 CPC, la demande ne peut être modifiée que si les conditions fixées à l'art. 227 al. 1 sont remplies (let. a) et si la modification repose sur des faits ou des moyens de preuve nouveaux (let. b).</w:t>
      </w:r>
    </w:p>
    <w:p>
      <w:r>
        <w:rPr>
          <w:b/>
        </w:rPr>
        <w:t>E. 2.2</w:t>
      </w:r>
    </w:p>
    <w:p>
      <w:r>
        <w:t>En l'espèce, les pièces nouvelles produites par les appelants sont postérieures au prononcé du jugement entrepris, de sorte qu'elles sont recevables, ainsi que les éléments de faits qu'elles comportent. La conclusion nouvelle des intimés, tendant à la production par les appelants de leur requête du 24 novembre 2015 auprès de la DGNP, est recevable. Elle repose sur des faits nouveaux et moyens de preuve nouveaux versés à la procédure par ces derniers dans le cadre de leur appel, à savoir l'autorisation délivrée par cette autorité le 27 novembre 2015.</w:t>
      </w:r>
    </w:p>
    <w:p>
      <w:r>
        <w:rPr>
          <w:b/>
        </w:rPr>
        <w:t>E. 3.1</w:t>
      </w:r>
    </w:p>
    <w:p>
      <w:r>
        <w:t>Selon l'art. 316 al. 3 CPC, l'instance d'appel peut librement décider d'administrer des preuves. Néanmoins, cette disposition ne confère pas un droit à la réouverture de la procédure probatoire et à l'administration de preuves.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reproduit in RSPC 2012, p. 414 et les références citées).</w:t>
      </w:r>
    </w:p>
    <w:p>
      <w:r>
        <w:rPr>
          <w:b/>
        </w:rPr>
        <w:t>E. 3.2</w:t>
      </w:r>
    </w:p>
    <w:p>
      <w:r>
        <w:t>En l'occurrence, les intimés sollicitent la production par les appelants de leur requête en autorisation auprès de la DGNP du 24 novembre 2015. Leur but est de démontrer que, contrairement à ce que soutiennent ces derniers, l'ordre d'élaguer le gleditsia prononcé par le premier juge n'est pas incompatible avec la décision administrative délivrée. Dans la mesure où, suivant la position des intimés, la Cour considère qu'une telle incompatibilité n'est en tout état pas établie par les appelants (consid. 4.2.3), la contre-preuve n'a pas besoin d'être apportée. La requête sera donc rejetée.</w:t>
      </w:r>
    </w:p>
    <w:p>
      <w:r>
        <w:rPr>
          <w:b/>
        </w:rPr>
        <w:t>E. 4</w:t>
      </w:r>
    </w:p>
    <w:p>
      <w:r>
        <w:t>Les appelants reprochent au premier juge de ne pas avoir retenu que le gleditsia avait été élagué à la suite de l'autorisation délivrée par l'autorité compétente le</w:t>
      </w:r>
    </w:p>
    <w:p>
      <w:r>
        <w:rPr>
          <w:b/>
        </w:rPr>
        <w:t>E. 6</w:t>
      </w:r>
    </w:p>
    <w:p>
      <w:r>
        <w:t>septembre 2013. Cela avait pourtant été le cas chaque année entre mi-novembre et mi-mars, conformément à la loi, ce qui ressortait des témoignages de leurs</w:t>
      </w:r>
    </w:p>
    <w:p>
      <w:r>
        <w:t>- 11/24 -</w:t>
      </w:r>
    </w:p>
    <w:p>
      <w:r>
        <w:t>C/21189/2013 jardiniers. La photographie produite par les intimés datait du mois d'août 2014. Les branches avaient eu le temps de repousser entre les coupes annuelles autorisées.</w:t>
      </w:r>
    </w:p>
    <w:p>
      <w:r>
        <w:t>Le premier juge les avait condamnés, en violation de la loi, à élaguer cet arbre de sorte que ses branches n'atteignent plus la parcelle des intimés. Celui-ci avait été planté il y a plus de trente ans. Il n'était soumis à aucune limitation de hauteur légale. Par ailleurs, en érigeant leur villa au bénéfice d'une servitude d'empiètement en extrême limite de leur parcelle, les intimés avaient accepté la présence de l'arbre, planté antérieurement. Leurs jardiniers s'occupaient régulièrement des arbres en conformité de la loi. La présence du gleditsia ne représentait donc pas une nuisance excessive. Cela étant, l'autorité compétente avait refusé l'élagage de l'arbre préconisé par le Tribunal, qualifié de mutilation.</w:t>
      </w:r>
    </w:p>
    <w:p>
      <w:r>
        <w:t>Les intimés soutiennent que les témoignages invoqués par les appelants ne portaient pas sur le gleditsia. Celui-ci n'avait pas été élagué et ses branches empiétaient sur leur parcelle, comme il ressortait du constat d'huissier, d'un témoignage et des photographies du mois d'août 2014. Ils n'avaient jamais accepté une telle situation et aucune servitude d'empiètement ne grevait leur parcelle. Par ailleurs, les appelants ne démontraient pas que l'autorité compétente avait eu connaissance du contenu du jugement entrepris avant de rendre sa décision. Au surplus, il n'était pas certain que celle-ci contredise celui-là. Une légère réduction des branches et un rééquilibrage de la couronne était accepté par l'autorité administrative et le jugement querellé ne préconisait pas une mutilation sur une hauteur de 15 m. Les sentences judiciaires étaient à l'abri de tout examen préjudiciel d'une autorité administrative.</w:t>
      </w:r>
    </w:p>
    <w:p>
      <w:r>
        <w:t>4.1.1 Selon l'art. 688 CC, la législation cantonale peut déterminer la distance que les propriétaires sont tenus d'observer dans leurs plantations.</w:t>
      </w:r>
    </w:p>
    <w:p>
      <w:r>
        <w:t>Les dispositions cantonales arrêtées sur la base de l'art. 688 CC ont pour but de protéger les voisins contre les immissions dues à la végétation, telles la diminution de la lumière, de la vue ou de l'air ou encore l'augmentation de l'humidité (MEIER-HAYOZ, in Commentaire bernois, n° 61 ad art. 687/688 CC; REY/STREBEL, in Commentaire bâlois CC II, 4ème édition, 2011, n. 29 ad art. 687/688 CC).</w:t>
      </w:r>
    </w:p>
    <w:p>
      <w:r>
        <w:t>4.1.2 Le canton de Genève a fait usage de la faculté réservée par l'art. 688 CC en adoptant des dispositions de droit privé relatives à la distance que doivent respecter les plantations se trouvant sur un immeuble par rapport à la limite le séparant de l'immeuble voisin, à la hauteur que peuvent atteindre ces plantations et aux prétentions que peut invoquer le propriétaire du fonds voisin.</w:t>
      </w:r>
    </w:p>
    <w:p>
      <w:r>
        <w:t>Les dispositions topiques figurent aux art. 129 à 134 LaCC, dans sa teneur entrée en vigueur le 1er janvier 2013.</w:t>
      </w:r>
    </w:p>
    <w:p>
      <w:r>
        <w:t>- 12/24 -</w:t>
      </w:r>
    </w:p>
    <w:p>
      <w:r>
        <w:t>C/21189/2013</w:t>
      </w:r>
    </w:p>
    <w:p>
      <w:r>
        <w:t>L'art. 134 LaCC contient une disposition de droit transitoire soumettant au droit en vigueur au 1er janvier 1998 les plantations existantes au 10 juillet 1999 (al. 1), sauf exceptions (al. 2).</w:t>
      </w:r>
    </w:p>
    <w:p>
      <w:r>
        <w:t>Selon l'art. 64 de la loi d'application du code civil et du code des obligations du</w:t>
      </w:r>
    </w:p>
    <w:p>
      <w:r>
        <w:rPr>
          <w:b/>
        </w:rPr>
        <w:t>E. 6.1</w:t>
      </w:r>
    </w:p>
    <w:p>
      <w:r>
        <w:t>La Cour statue sur les frais judiciaires et les répartit d'office (art. 104 et 105 CPC). Ces frais sont en règle générale mis à la charge de la partie succombante (art. 106 al. 1 CPC). Lorsqu'aucune des parties n'obtient entièrement gain de cause, les frais sont répartis selon le sort de la cause (art. 106 al. 2 CPC).</w:t>
      </w:r>
    </w:p>
    <w:p>
      <w:r>
        <w:t>Si l'instance d'appel statue à nouveau, elle se prononce sur les frais de la première instance (art. 318 al. 3 CPC).</w:t>
      </w:r>
    </w:p>
    <w:p>
      <w:r>
        <w:rPr>
          <w:b/>
        </w:rPr>
        <w:t>E. 6.2</w:t>
      </w:r>
    </w:p>
    <w:p>
      <w:r>
        <w:t>Les appelants critiquent la répartition des frais et dépens de première instance effectuée par le Tribunal, à l'exclusion du montant de ceux-ci. Bien que déboutés de leurs conclusions reconventionnelles, ils avaient obtenu gain de cause sur la quasi-totalité des conclusions des intimés, de sorte que 1/5 seulement des frais et dépens devait être mis à leur charge. La demande principale - formée de six conclusions - et la demande reconventionnelle peuvent être considérées d'une importance équivalente. Les intimés ont été déboutés de leur conclusion reconventionnelle et ont succombé pour ce qui est de deux des six conclusions de la demande. La décision du premier juge de mettre à leur charge 2/3 des frais et dépens de première instance n'est donc pas critiquable. Le grief des appelants n'est en conséquence pas fondé. Le présent arrêt ne modifie que légèrement en faveur des appelants la mesure dans laquelle ceux-ci ont succombé, en apportant un tempérament à leur condamnation en lien avec le gleditsia. Il n'y a donc pas lieu de revenir sur la répartition précitée des frais et dépens de première instance.</w:t>
      </w:r>
    </w:p>
    <w:p>
      <w:r>
        <w:rPr>
          <w:b/>
        </w:rPr>
        <w:t>E. 6.3</w:t>
      </w:r>
    </w:p>
    <w:p>
      <w:r>
        <w:t>Les frais judiciaires de deuxième instance seront fixés à 6'000 fr. (art. 2, 13, 18 et 35 RTFMC- RS/GE E 1 05.10). La moitié de ce montant sera rattaché à chacun des appels, le travail à fournir s'étant révélé similaire. Ils sont entièrement couverts par les avances de frais fournies par les parties en appel, à savoir 2'400 fr. pour ce qui est des appelants et 3'600 fr. s'agissant des intimés, lesquelles demeurent acquises à l'Etat (art. 111 al. 1 CPC). Les appelants n'obtiennent gain de cause que très partiellement et les intimés succombent totalement. Les frais judiciaires seront donc mis à la charge des premiers à hauteur de 2'800 fr. et à la charge des seconds à hauteur de 3'200 fr. Les appelants seront en conséquence condamnés à verser la somme de 400 fr. aux intimés au titre de restitution partielle de l'avance fournie (art. 111 al. 2 CPC).</w:t>
      </w:r>
    </w:p>
    <w:p>
      <w:r>
        <w:t>Au vu de l'issue du litige, les dépens de seconde instance seront compensés, chacune des parties conservant à sa charge les honoraires de son conseil.</w:t>
      </w:r>
    </w:p>
    <w:p>
      <w:r>
        <w:t>- 22/24 -</w:t>
      </w:r>
    </w:p>
    <w:p>
      <w:r>
        <w:t>C/21189/2013</w:t>
      </w:r>
    </w:p>
    <w:p>
      <w:r>
        <w:rPr>
          <w:b/>
        </w:rPr>
        <w:t>E. 7</w:t>
      </w:r>
    </w:p>
    <w:p>
      <w:r>
        <w:t>Sur la base notamment des considérations figurant sous chiffre 1 ci-dessus, la Cour estime à 30'000 fr. la valeur litigieuse déterminée par les conclusions restées litigieuses devant la Cour (art. 51 al. 1 let. a et al. 2 LTF), relatives, s'agissant des appelants, à l'obligation d'élaguer le gleditsia imposée par le premier juge ainsi qu'à la répartition des frais judiciaires et dépens de première instance, et s'agissant des intimés, au rejet par celui-ci d'une obligation d'enlever et/ou d'élaguer les chênes verts. Le présent arrêt est donc susceptible d'un recours en matière civile auprès du Tribunal fédéral (art. 72 al. 1 LTF), la valeur litigieuse requise par l'art. 74 al. 1 LTF étant atteinte. L'attention des parties est toutefois attirée sur le fait qu'il appartient au Tribunal fédéral d'arrêter la valeur litigieuse déterminante pour fixer la voie de droit ouverte, une indication erronée de la part de la Cour ne pouvant à cet égard ouvrir une voie de droit en réalité inexistante. * * * * *</w:t>
      </w:r>
    </w:p>
    <w:p>
      <w:r>
        <w:t>- 23/24 -</w:t>
      </w:r>
    </w:p>
    <w:p>
      <w:r>
        <w:t>C/21189/2013 PAR CES MOTIFS, La Chambre civile : A la forme : Déclare recevables les appels interjetés le 24 novembre 2015 par C______ et D______ et le 16 décembre 2015 par A______ et B______ contre le jugement JTPI/13259/2015 rendu le 11 novembre 2015 par le Tribunal de première instance dans la cause C/21189/2013-8. Au fond : Annule le chiffre 1 du dispositif de ce jugement. Puis, cela fait, statuant à nouveau : Déclare irrecevable la conclusion n. 6 de l'action en cessation de trouble du 29 novembre 2013 de C______ et D______ dans la mesure où celle-ci porte sur l'enlèvement des chênes verts faisant l'objet du jugement JTPI/4______ du 19 mai 2011. Déclare recevable la conclusion n. 6 de l'action en cessation de trouble du 29 novembre 2013 de C______ et D______ dans la mesure où celle-ci porte sur l'enlèvement des chênes verts plantés après le prononcé du jugement JTPI/4______ du 19 mai 2011. Condamne B______ et A______ à élaguer régulièrement, à leurs frais et périls, le gleditsia situé à l'entrée à gauche de leur propriété, en limite de propriété avec la parcelle 1______, de sorte à supprimer ou à réduire l'empiètement de celui-ci sur la parcelle 1______ au maximum de la mesure autorisée par les règles de droit public cantonal, telles que concrétisées par les autorisations administratives délivrées à la suite des requêtes visées au point suivant, sous la menace de la peine prévue à l'article 292 CP qui dispose que celui qui ne se sera pas conformé à une décision à lui signifiée, sous la menace de la peine prévue au présent article, par une autorité ou un fonctionnaire compétent, sera puni de l'amende. Condamne B______ et A______ à déposer auprès de l'autorité administrative compétente les requêtes en autorisation nécessaires à se conformer au point précédent, sous la menace de la peine prévue à l'article 292 CP qui dispose que celui qui ne se sera pas conformé à une décision à lui signifiée, sous la menace de la peine prévue au présent article, par une autorité ou un fonctionnaire compétent, sera puni de l'amende. Confirme le jugement pour le surplus. Déboute les parties de toutes autres conclusions.</w:t>
      </w:r>
    </w:p>
    <w:p>
      <w:r>
        <w:t>- 24/24 -</w:t>
      </w:r>
    </w:p>
    <w:p>
      <w:r>
        <w:t>C/21189/2013 Sur les frais : Arrête les frais judiciaires des appels à un montant total de 6'000 fr., les met à la charge de C______ et D______ à hauteur de 3'200 fr. ainsi qu'à la charge de A______ et B______ à hauteur de 2'800 fr. et les compense avec les avances effectuées par les parties, lesquelles restent acquises à l'Etat de Genève. Condamne A______ et B______, conjointement et solidairement, à verser à C______ et D______ le montant de 400 fr. à titre de restitution partielle de l'avance de frais fournie. Dit que chacune des parties supporte ses propres dépens d'appel. Siégeant : Madame Valérie LAEMMEL-JUILLARD, présidente; Madame Nathalie LANDRY- BARTHE et Monsieur Patrick CHENAUX, juges; Madame Audrey MARASCO, greffière. La présidente : Valérie LAEMMEL-JUILLARD</w:t>
      </w:r>
    </w:p>
    <w:p>
      <w:r>
        <w:t>La greffière : Audrey MARASCO</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 cf. considérant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