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ACJC/892/2015 vom 24. Juli 2014</w:t>
      </w:r>
    </w:p>
    <w:p>
      <w:r>
        <w:t>GE Cour de justice, 2014-07-24, FR</w:t>
      </w:r>
    </w:p>
    <w:p>
      <w:r>
        <w:rPr>
          <w:b/>
        </w:rPr>
        <w:t xml:space="preserve">Quelle: </w:t>
      </w:r>
      <w:r>
        <w:t>https://mcp.opencaselaw.ch/entscheid/ge_gerichte_ACJC_892_2015</w:t>
      </w:r>
    </w:p>
    <w:p>
      <w:r>
        <w:t>FR: GE_GERICHTE ACJC/892/2015 du 24 juillet 2014</w:t>
      </w:r>
    </w:p>
    <w:p>
      <w:r>
        <w:t>IT: GE_GERICHTE ACJC/892/2015 del 24 luglio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2.1; 4C_310/1996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w:t>
      </w:r>
    </w:p>
    <w:p>
      <w:r>
        <w:t>- 10/14 -</w:t>
      </w:r>
    </w:p>
    <w:p>
      <w:r>
        <w:t>C/3820/2012 CPC). La détermination de la valeur litigieuse suit les mêmes règles que pour la procédure devant le Tribunal fédéral (RETORNAZ, Procédure civile suisse, Les grands thèmes pour les praticiens, Neuchâtel, 2010, p. 363; SPÜHLER, BSK ZPO, 2ème édition, 2013, nos 1-9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et ss CO, il convient, sauf exceptions, de prendre en considération la période de protection de trois ans dès la fin de la procédure judiciaire qui est prévue par l'art. 271a al. 1 let. e CO (arrêts du Tribunal fédéral 4A_189/2011 du 4 juillet 2011; 4A_367/2010 du 4 octobre 2010, consid.1.1; 4A_127/2008 du 2 juin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w:t>
      </w:r>
    </w:p>
    <w:p>
      <w:r>
        <w:rPr>
          <w:b/>
        </w:rPr>
        <w:t>E. 1.2</w:t>
      </w:r>
    </w:p>
    <w:p>
      <w:r>
        <w:t>En l'espèce, le loyer annuel du logement, charges non comprises, s'élève à 21'183 fr. La procédure cantonale s'achèvera avec l'arrêt que prononcera la Chambre de céans. En prenant en compte la période de protection de trois ans contre un congé après cet arrêt, la valeur litigieuse est largement supérieure à 10'000 fr., seuil prévu pour l'admissibilité de l'appel. L'appel peut être formé pour violation du droit ou constatation inexacte des faits (art. 310 CPC).</w:t>
      </w:r>
    </w:p>
    <w:p>
      <w:r>
        <w:rPr>
          <w:b/>
        </w:rPr>
        <w:t>E. 2.1</w:t>
      </w:r>
    </w:p>
    <w:p>
      <w:r>
        <w:t>Selon l'art. 311 CPC, l'appel, écrit et motivé, doit être introduit auprès de l'instance d'appel dans les trente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2011, nos 3 et 4 ad art. 311 CPC; LACHAT, Procédure civile en matière de baux et loyers, Lausanne, 2011, p. 186).</w:t>
      </w:r>
    </w:p>
    <w:p>
      <w:r>
        <w:rPr>
          <w:b/>
        </w:rPr>
        <w:t>E. 2.2</w:t>
      </w:r>
    </w:p>
    <w:p>
      <w:r>
        <w:t>En l'occurrence, l'acte d'appel a été déposé au greffe de la Cour de céans dans le délai légal de trente jours.</w:t>
      </w:r>
    </w:p>
    <w:p>
      <w:r>
        <w:t>- 11/14 -</w:t>
      </w:r>
    </w:p>
    <w:p>
      <w:r>
        <w:t>C/3820/2012 Par ailleurs, l'appelante énonce les griefs de fait ou de droit qui, à ses yeux, justifient l'appel. L'appel est dès lors recevable.</w:t>
      </w:r>
    </w:p>
    <w:p>
      <w:r>
        <w:rPr>
          <w:b/>
        </w:rPr>
        <w:t>E. 3</w:t>
      </w:r>
    </w:p>
    <w:p>
      <w:r>
        <w:t>La nullité d'un congé doit être contrôlée par toute autorité compétente pour examiner les effets du congé; même d'office et ceci en tout temps (MONTINI, Commentaire pratique du droit du bail à loyer, 2010, n. 6 art. 266o CO).</w:t>
      </w:r>
    </w:p>
    <w:p>
      <w:r>
        <w:rPr>
          <w:b/>
        </w:rPr>
        <w:t>E. 3.1</w:t>
      </w:r>
    </w:p>
    <w:p>
      <w:r>
        <w:t>A teneur de l'art. 266o CO, le congé qui ne satisfait pas aux conditions prévues aux art. 266l à 266n CO est nul. Parmi ces conditions, se trouve la dénomination exacte des parties (ACJC/817/2010 du 21 juin 2010, consid. 2.2). Le congé donné par le bailleur pour un logement ou un local commercial doit l'être au moyen d'une formule officielle agréée par le canton du lieu de situation de l'immeuble (art. 266l al. 2 CO). Ce formulaire indique au locataire la manière dont il doit procéder s'il entend contester le congé ou demander la prolongation du bail. Le formulaire doit aussi préciser le délai de contestation du congé et l'autorité de conciliation compétente (art. 9 al. 1 let. d et e OBLF). Le formulaire doit en principe être signé à la main (art. 14 al. 1 CO); il suffit cependant que la lettre d'accompagnement le soit à la main (LACHAT, Le bail à loyer, Lausanne, 2008, pp. 627-628). Pour être valable, la résiliation doit être adressée par l'une des parties au bail à l'autre (LACHAT, op. cit., p. 626). Ainsi, doit être considéré comme nul le congé donné par une personne qui n'est pas bailleur (LACHAT, op. cit., p. 727). Les règles de forme concernent toutes les résiliations, ordinaires ou anticipées, relatives à un logement ou un local commercial (LACHAT, op.cit., p. 628). Le congé nul est affecté d'un vice originaire, à caractère irrémédiable, si bien qu'il n'engendre d'emblée et de manière définitive aucune portée juridique. Autrement dit, le congé nul doit être considéré comme s'il n'avait jamais été donné. La nullité doit être prévue par une disposition légale ou découler de son sens et de son but (ACJC/1554/2014 du 17 décembre 2014, consid. 3.2; LACHAT, op. cit., p. 726; MONTINI, op. cit., no 6 ad art. 266o CO).</w:t>
      </w:r>
    </w:p>
    <w:p>
      <w:r>
        <w:rPr>
          <w:b/>
        </w:rPr>
        <w:t>E. 3.2</w:t>
      </w:r>
    </w:p>
    <w:p>
      <w:r>
        <w:t>Le défaut de légitimation active (ou passive) est un moyen de fond, qui a le caractère d'une objection. Il doit être examiné d'office à la lumière des règles de droit matériel (ATF 126 III 59 consid.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(ACJC/412/2015 du 13 avril 2015, consid. 2.1; ACJC/1743/2012 du 3 décembre</w:t>
      </w:r>
    </w:p>
    <w:p>
      <w:r>
        <w:t>- 12/14 -</w:t>
      </w:r>
    </w:p>
    <w:p>
      <w:r>
        <w:t>C/3820/2012 2012, consid. 3.1; ATF 130 III 417 consid. 3.1, SJ 2004 I 533; ATF 126 III 59 consid. 1a; HOHL, Procédure civile, tome I, n. 435 p. 97 et n. 451 p. 100).</w:t>
      </w:r>
    </w:p>
    <w:p>
      <w:r>
        <w:rPr>
          <w:b/>
        </w:rPr>
        <w:t>E. 3.3</w:t>
      </w:r>
    </w:p>
    <w:p>
      <w:r>
        <w:t>Dans le cas présent, plusieurs entités de A______ distinctes sont signataires des baux et avis de résiliation du bail. E______ a conclu le contrat de bail à loyer portant sur l'appartement litigieux avec F______. E______ a également conclu le contrat de bail à loyer portant sur l'emplacement de stationnement litigieux avec F______. Ensuite, Z______ a conclu le contrat de bail à loyer portant sur la cave à vin litigieuse avec F______ et G______. Finalement, A______ a résilié les baux portant sur l'appartement, le box et la cave à vin par avis officiels de résiliation du bail du 17 janvier 2012 pour le 31 janvier 2013. A______ est par ailleurs appelante dans la présente procédure. A teneur de l'extrait du Registre foncier, E______, est propriétaire de l'immeuble sis ______. Les congés notifiés le 17 janvier 2012 ont été donnés par A______, alors que cette dernière n'était pas signataire des baux. Se pose dès lors la question de sa légitimation active. En l'absence d'explications claires fournies par l'appelante et d'acte d'instruction sur ce point, il n'est pas possible de déterminer si l'appelante, qui n'est pas signataire des baux litigieux, était fondée à signer les avis de résiliation, et dans l'affirmative, comment elle est devenue titulaire des droits découlant des contrats. Il n'est ainsi pas possible de déterminer si les congés litigieux sont valables ou doivent être considérés comme nuls faute de légitimation active de l'appelante, conformément à l'art. 266o CO. Le dossier soumis à la Cour de céans ne comportant pas d'éléments suffisants pour lui permettre de statuer sur la question de la légitimation active de l'appelante, la présente cause sera renvoyée aux premiers juges pour complément d'instruction.</w:t>
      </w:r>
    </w:p>
    <w:p>
      <w:r>
        <w:rPr>
          <w:b/>
        </w:rPr>
        <w:t>E. 4</w:t>
      </w:r>
    </w:p>
    <w:p>
      <w:r>
        <w:t>Si les premiers juges devaient admettre la validité des congés notifiés le 17 janvier 2012 tant à la forme qu'au fond, ils devront également statuer sur la question d'une éventuelle prolongation du bail, au sens de l'art. 272 CO.</w:t>
      </w:r>
    </w:p>
    <w:p>
      <w:r>
        <w:t>- 13/14 -</w:t>
      </w:r>
    </w:p>
    <w:p>
      <w:r>
        <w:t>C/3820/2012</w:t>
      </w:r>
    </w:p>
    <w:p>
      <w:r>
        <w:rPr>
          <w:b/>
        </w:rPr>
        <w:t>E. 5</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- 14/14 -</w:t>
      </w:r>
    </w:p>
    <w:p>
      <w:r>
        <w:t>C/3820/2012 PAR CES MOTIFS, La Chambre des baux et loyers : A la forme : Déclare recevable l'appel interjeté par A______ contre le jugement JTBL/836/2014 rendu par le Tribunal des baux et loyers le 24 juillet 2014 dans la cause C/3820/2012-3 OSB. Au fond : Annule ce jugement. Ceci fait et statuant à nouveau : Renvoie la cause au Tribunal des baux et loyers pour nouvelle décision dans le sens des considérants. Dit que la procédure est gratuite.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