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ACJC/891/2019 vom 24. Juni 2019</w:t>
      </w:r>
    </w:p>
    <w:p>
      <w:r>
        <w:t>GE Cour de justice, 2019-06-24, FR</w:t>
      </w:r>
    </w:p>
    <w:p>
      <w:r>
        <w:rPr>
          <w:b/>
        </w:rPr>
        <w:t xml:space="preserve">Quelle: </w:t>
      </w:r>
      <w:r>
        <w:t>https://mcp.opencaselaw.ch/entscheid/ge_gerichte_ACJC_891_2019</w:t>
      </w:r>
    </w:p>
    <w:p>
      <w:r>
        <w:t>FR: GE_GERICHTE ACJC/891/2019 du 24 juin 2019</w:t>
      </w:r>
    </w:p>
    <w:p>
      <w:r>
        <w:t>IT: GE_GERICHTE ACJC/891/2019 del 24 giugno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les décisions incidentes de première instance qui ne peuvent faire l'objet d'un appel (art. 319 let. a CPC).</w:t>
      </w:r>
    </w:p>
    <w:p>
      <w:r>
        <w:t>Selon la jurisprudence constante du Tribunal fédéral, les contestations portant sur l'usage d'une chose louée sont de nature pécuniaire (arrêt du Tribunal fédéral 4A_388/2016 du 15 mars 2017 consid. 1).</w:t>
      </w:r>
    </w:p>
    <w:p>
      <w:r>
        <w:t>- 7/12 -</w:t>
      </w:r>
    </w:p>
    <w:p>
      <w:r>
        <w:t>C/25397/2016</w:t>
      </w:r>
    </w:p>
    <w:p>
      <w:r>
        <w:t>Comme déjà statué par la Cour dans son arrêt du 13 juin 2018, la valeur litigieuse est en l'espèce de 21'578 fr. et dépasse le seuil de 10'000 fr.</w:t>
      </w:r>
    </w:p>
    <w:p>
      <w:r>
        <w:t>La voie de l'appel est ainsi ouverte.</w:t>
      </w:r>
    </w:p>
    <w:p>
      <w:r>
        <w:rPr>
          <w:b/>
        </w:rPr>
        <w:t>E. 1.2</w:t>
      </w:r>
    </w:p>
    <w:p>
      <w:r>
        <w:t>Interjetés dans les délais et suivant la forme prescrits par la loi (art. 130, 131 et 311 al. 1, 312, 316 al. 2 CPC), l'appel, la réponse à l'appel, la réplique du 3 septembre 2018, ainsi que la duplique du 13 septembre 2018 sont recevables.</w:t>
      </w:r>
    </w:p>
    <w:p>
      <w:r>
        <w:t>La détermination de l'appelante du 30 novembre 2018 a été déposée plus de deux mois après la communication de la Cour du 24 septembre 2018 informant les parties de ce que la cause était gardée à juger. Certes, dans les procédures judiciaires soumises aux art. 29 al. 1 Cst. et 6 par. 1 CEDH, chaque partie jouit de par ces dispositions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voir aussi ATF 142 III 324 consid. 2.2 p. 237; arrêt du Tribunal fédéral 4A_558/2016 du 3 février 2017 consid. 4).</w:t>
      </w:r>
    </w:p>
    <w:p>
      <w:r>
        <w:t>La détermination de l'appelante du 30 novembre 2018 ne visait pas à prendre position sur les écritures de l'intimée, mais à déposer une pièce nouvelle en appel. Un délai de près de deux mois depuis que la cause a été gardée à juger excède, quoi qu'il en soit, le temps nécessaire à disposition de l'appelante pour exercer un éventuel droit de réplique élargi. La détermination du 30 novembre 2018 est partant irrecevable.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w:t>
      </w:r>
    </w:p>
    <w:p>
      <w:r>
        <w:t>- 8/12 -</w:t>
      </w:r>
    </w:p>
    <w:p>
      <w:r>
        <w:t>C/25397/2016 (let. b). Les deux conditions sont cumulatives (JEANDIN, Commentaire romand, Code de procédure civile 2ème éd. 2019, n. 6 ad art. 317 CPC).</w:t>
      </w:r>
    </w:p>
    <w:p>
      <w:r>
        <w:rPr>
          <w:b/>
        </w:rPr>
        <w:t>E. 2.2</w:t>
      </w:r>
    </w:p>
    <w:p>
      <w:r>
        <w:t>En l'espèce, l'appelante a produit deux pièces nouvelles. Celle produite le 3 septembre 2018, dans le cadre de la réplique, est une facture du C______ datant du 23 juillet 2018. Elle ne pouvait être produite auparavant par les appelants et doit donc être admise aux débats, bien que non décisive pour trancher le litige opposant les parties. S'agissant de celle déposée le 30 novembre 2018, elle l'a été tardivement et après que la cause a été gardée à juger. Elle est irrecevable, à l'instar de la détermination l'accompagnant.</w:t>
      </w:r>
    </w:p>
    <w:p>
      <w:r>
        <w:rPr>
          <w:b/>
        </w:rPr>
        <w:t>E. 3</w:t>
      </w:r>
    </w:p>
    <w:p>
      <w:r>
        <w:t>Les appelants se plaignent d'une violation des règles de l'équité et reprochent au Tribunal d'avoir mal pesé les intérêts en présence. L'obligation de la bailleresse de relier les foyers genevois au réseau des SIG n'était qu'imparfaite puisqu'elle ne pouvait s'accompagner d'aucune sanction et ne pouvait constituer un intérêt propre. Ce doute sur la nécessité de raccorder leur maison, accompagné de la hausse de tarification qui en découle, aurait dû conduire les juges à annuler l'avis de modification contesté.</w:t>
      </w:r>
    </w:p>
    <w:p>
      <w:r>
        <w:t>Pour sa part, l'intimée soutient que l'avis litigieux respecte les conditions de forme prévues aux art. 269d CO et 19 OBLF; le basculement du réseau électrique sur celui des SIG était un impératif, ce qui était mentionné dans l'avis de modification et le courrier l'accompagnant; l'application de la tarification de l'électricité selon les tarifs SIG était effective au 1er décembre 2017, soit une année après la notification. Sur le fond, elle fait sienne l'argumentation des premiers juges.</w:t>
      </w:r>
    </w:p>
    <w:p>
      <w:r>
        <w:rPr>
          <w:b/>
        </w:rPr>
        <w:t>E. 3.1</w:t>
      </w:r>
    </w:p>
    <w:p>
      <w:r>
        <w:t>En cours de contrat, le bailleur peut décider de le modifier unilatéralement. Il doit toutefois procéder conformément à l'art. 269d CO et le locataire peut contester la modification s'il la juge abusive (art. 270b al. 2 CO).</w:t>
      </w:r>
    </w:p>
    <w:p>
      <w:r>
        <w:t>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et ATF 121 III 460 consid. 4a).</w:t>
      </w:r>
    </w:p>
    <w:p>
      <w:r>
        <w:t>L'art. 19 OBLF exige que la formule destinée à communiquer au locataire la modification unilatérale du contrat contienne la désignation des prétentions, la</w:t>
      </w:r>
    </w:p>
    <w:p>
      <w:r>
        <w:t>- 9/12 -</w:t>
      </w:r>
    </w:p>
    <w:p>
      <w:r>
        <w:t>C/25397/2016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1bis).</w:t>
      </w:r>
    </w:p>
    <w:p>
      <w:r>
        <w:t>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Les motifs doivent être précis; ils doivent permettre au locataire de saisir la portée et la justification de la modification de manière à pouvoir apprécier en pleine connaissance de cause l'opportunité de la contester ou non (ATF 137 III 362 consid. 3.2.1; 121 III 6 consid. 3a et 460 consid. 4a/bb et cc; 117 II 458 consid. 2a; arrêt du Tribunal fédéral 4A_409/2009 du 1er février 2010 consid. 2.1).</w:t>
      </w:r>
    </w:p>
    <w:p>
      <w:r>
        <w:t>La motivation telle qu'indiquée dans la formule officielle constitue une manifestation de volonté du bailleur (ATF 118 II 130 consid. 2b). Si le locataire et le bailleur ne sont pas d'accord sur le sens ou la portée de cette communication, il faut l'interpréter selon le principe de la confiance; sont prises en compte toutes les circonstances du cas particulier (ATF 121 III 460 consid. 4a/cc). La modification unilatérale qui ne comporte aucune motivation ou qui n'est pas motivée de façon suffisamment précise est nulle (ATF 121 III 6 consid. 3b et 460 consid. 4a/cc; arrêt du Tribunal fédéral 4A/571/2017 du 10 juillet 2018 consid. 4.1.1.2).</w:t>
      </w:r>
    </w:p>
    <w:p>
      <w:r>
        <w:t>La loi est muette quant aux critères en vertu desquels le juge se prononcera sur le bien-fondé de la modification du contrat. Si celle-ci est appréciable économi- quement, le juge s'inspirera des règles des art. 269 et 269a CO. Dans les autres cas, il tranchera en équité, en mettant en balance les intérêts en présence. En particulier, comme en matière de rénovation, le juge se demandera si l'autre prétention peut être raisonnablement imposée au locataire. Il examinera aussi si la modification intervient au détriment du locataire. Enfin, le juge pourra s'inspirer des règles relatives à l'annulation des résiliations abusives (art. 271 et 271a CO).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En cas de doute, le juge refusera la modification sollicitée en s'appuyant sur le principe de la fidélité au contrat (LACHAT/GROBET THORENS, Le bail à loyer, 2ème éd. 2019, Lausanne, pp. 714-715, ch. 3.5).</w:t>
      </w:r>
    </w:p>
    <w:p>
      <w:r>
        <w:t>- 10/12 -</w:t>
      </w:r>
    </w:p>
    <w:p>
      <w:r>
        <w:t>C/25397/2016</w:t>
      </w:r>
    </w:p>
    <w:p>
      <w:r>
        <w:rPr>
          <w:b/>
        </w:rPr>
        <w:t>E. 3.2</w:t>
      </w:r>
    </w:p>
    <w:p>
      <w:r>
        <w:t>En l'espèce, à juste titre, la validité formelle de l'avis de modification du bail notifié le 14 novembre 2016 n'est pas remise en cause par les appelants. En effet, la formule officielle a été employée, indique le motif de la modification unilatérale souhaitée, soit la suppression de la fourniture d'électricité par la bailleresse, et a été notifiée dans le respect des délais et préavis visés à l'art. 269d al. 1 CO. En outre, la formule officielle contient toutes les données imposées par l'art. 19 al. 1 let. b OBLF, notamment la prise d'effet de la modification effective dès le 1er décembre 2017, qui s'applique à toute modification unilatérale du contrat par renvoi de l'art. 269d al. 3 CO. Reste dès lors à examiner le bien-fondé de la modification.</w:t>
      </w:r>
    </w:p>
    <w:p>
      <w:r>
        <w:t>Comme l'a retenu pertinemment le Tribunal, les raisons historiques ayant justifié la fourniture d'électricité aux anciennes villas ouvrières directement par la bailleresse - dont l'activité se limitait à la production d'électricité et non la fourniture de celle-ci - n'existent plus, ce qui légitimait de basculer les maisons voisines du barrage sur le réseau cantonal des SIG; des travaux conséquents ont été entrepris par les SIG pour que ces maisons soient raccordées à son réseau, conformément à une obligation fédérale les contraignant à fournir en électricité tous les logements genevois. Le fait que le maintien du statu quo n'impliquerait pas de plainte des autorités fédérales chargées de s'assurer que les SIG fournissent en électricité l'entier des foyers genevois ne suffit pas à justifier le maintien d'une situation non conforme au droit. La volonté de la bailleresse de mettre un terme à une situation d'exception constituant, aux dires de cette dernière, une "zone grise" et se conformer aux impératifs légaux en termes de fourniture d'électricité répond à un intérêt légitime et prépondérant. Ce basculement sur le réseau SIG a comme conséquence défavorable pour les appelants une modification de la tarification de la consommation d'électricité. La tarification actuelle s'en trouverait augmentée pour être adaptée aux tarifs pratiqués par les SIG. La tarification de l'électricité prévue contractuellement s'élève à 17 ct/kWh. Le passage à la tarification des SIG impliquerait une hausse de 5 ct/kWh si l'on tient compte du tarif appliqué au modèle d'énergie "Vitale Bleu" le moins coûteux, soit une hausse annuelle d'environ 1'125 fr. si l'on se réfère à la consommation annuelle de l'année 2017 (22'513 kWh). Comme l'ont retenu les premiers juges, cette hausse - estimative - représente la somme de 93 fr./mois, soit une majoration d'environ 5% du loyer et charges mensuels actuels, qui peut raisonnablement être imposée aux locataires. Il apparaît également que cette tarification de 22 ct/kWh peut être optimisée si les locataires font le choix du Tarif Profil Double, faisant baisser les coûts à 15,24 ct/kWh pour le modèle d'énergie "Vitale Bleu". La future consommation d'électricité des appelants devrait également se trouver diminuée consécutivement</w:t>
      </w:r>
    </w:p>
    <w:p>
      <w:r>
        <w:t>- 11/12 -</w:t>
      </w:r>
    </w:p>
    <w:p>
      <w:r>
        <w:t>C/25397/2016 aux prochains travaux de rénovation des villas projetés par l'intimée en vue de les adapter aux standards énergétiques actuels. En conséquence, en raison de l'ensemble des circonstances évoquées ci-dessus, il apparaît que les premiers juges n'ont pas violé les règles de l'équité en admettant la validité de l'avis de modification du bail notifié le 14 novembre 2016, les conditions d'application de l'art. 269d CO étant réunies. Le jugement entrepris sera donc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C/25397/2016 PAR CES MOTIFS, La Chambre des baux et loyers : A la forme : Déclare recevable l'appel formé le 16 mai 2018 par B______ et A______ contre le jugement JTBL/308/2018 rendu le 10 avril 2018 par le Tribunal des baux et loyers dans la cause C/25397/2016-1-OSL. Au fond : Confirme le jugement entrepris. Dit que la procédure est gratuite. Déboute les parties de toutes autres conclusions. Siégeant : Monsieur Ivo BUETTI, président; Madame Fabienne GEISINGER-MARIETHOZ et Madame Pauline ERARD, juges; Madame Zoé SEILER et Monsieur Grégoire CHAMBAZ, juges assesseurs, Madame Maïté VALENTE, greffière. Le président : Ivo BUETTI</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