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ACJC/890/2022 vom 12. Januar 2021</w:t>
      </w:r>
    </w:p>
    <w:p>
      <w:r>
        <w:t>GE Cour de justice, 2021-01-12, FR</w:t>
      </w:r>
    </w:p>
    <w:p>
      <w:r>
        <w:rPr>
          <w:b/>
        </w:rPr>
        <w:t xml:space="preserve">Quelle: </w:t>
      </w:r>
      <w:r>
        <w:t>https://mcp.opencaselaw.ch/entscheid/ge_gerichte_ACJC_890_2022</w:t>
      </w:r>
    </w:p>
    <w:p>
      <w:r>
        <w:t>FR: GE_GERICHTE ACJC/890/2022 du 12 janvier 2021</w:t>
      </w:r>
    </w:p>
    <w:p>
      <w:r>
        <w:t>IT: GE_GERICHTE ACJC/890/2022 del 12 gennaio 2021</w:t>
      </w:r>
    </w:p>
    <w:p>
      <w:pPr>
        <w:pStyle w:val="Heading2"/>
      </w:pPr>
      <w:r>
        <w:t>Erwägungen</w:t>
      </w:r>
    </w:p>
    <w:p>
      <w:r>
        <w:rPr>
          <w:b/>
        </w:rPr>
        <w:t>E. 1</w:t>
      </w:r>
    </w:p>
    <w:p>
      <w:r>
        <w:t>et 2 CPC).</w:t>
      </w:r>
    </w:p>
    <w:p>
      <w:r>
        <w:rPr>
          <w:b/>
        </w:rPr>
        <w:t>E. 1.2</w:t>
      </w:r>
    </w:p>
    <w:p>
      <w:r>
        <w:t>Déposé dans la forme et le délai prescrits, le recours est recevable (art. 321 al.</w:t>
      </w:r>
    </w:p>
    <w:p>
      <w:r>
        <w:rPr>
          <w:b/>
        </w:rPr>
        <w:t>E. 1.3</w:t>
      </w:r>
    </w:p>
    <w:p>
      <w:r>
        <w:t>Au stade de la requête et de l'ordonnance de séquestre, la procédure est unilatérale et le débiteur n'est pas entendu (art. 272 LP; ATF 133 III 589 consid.1).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w:t>
      </w:r>
    </w:p>
    <w:p>
      <w:r>
        <w:rPr>
          <w:b/>
        </w:rPr>
        <w:t>E. 1.4</w:t>
      </w:r>
    </w:p>
    <w:p>
      <w:r>
        <w:t>Le recourant a produit une pièce nouvelle devant la Cour.</w:t>
      </w:r>
    </w:p>
    <w:p>
      <w:r>
        <w:rPr>
          <w:b/>
        </w:rPr>
        <w:t>E. 1.4.1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BRUNNER/VISCHER, Kurzkommentar ZPO, 3ème éd., 2021, n. 3 ad art. 326 CPC; JEANDIN, Commentaire romand CPC, 2ème éd., 2019, n. 4 ad art. 326 CPC).</w:t>
      </w:r>
    </w:p>
    <w:p>
      <w:r>
        <w:t>- 4/5 -</w:t>
      </w:r>
    </w:p>
    <w:p>
      <w:r>
        <w:t>C/9568/2022</w:t>
      </w:r>
    </w:p>
    <w:p>
      <w:r>
        <w:rPr>
          <w:b/>
        </w:rPr>
        <w:t>E. 1.4.2</w:t>
      </w:r>
    </w:p>
    <w:p>
      <w:r>
        <w:t>Au vu de ce qui précède, la pièce nouvelle produite par le recourant est irrecevable.</w:t>
      </w:r>
    </w:p>
    <w:p>
      <w:r>
        <w:rPr>
          <w:b/>
        </w:rPr>
        <w:t>E. 2</w:t>
      </w:r>
    </w:p>
    <w:p>
      <w:r>
        <w:t>Le recourant reproche au Tribunal de ne pas avoir admis qu'il avait rendu vraisemblable l'existence en Suisse de biens du débiteur.</w:t>
      </w:r>
    </w:p>
    <w:p>
      <w:r>
        <w:rPr>
          <w:b/>
        </w:rPr>
        <w:t>E. 2.1</w:t>
      </w:r>
    </w:p>
    <w:p>
      <w:r>
        <w:t>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Comme cas de séquestre, l'art. 271 al. 1 LP prévoit notamment que le créancier de la dette échue et non garantie par gage peut requérir le séquestre des biens du débiteur lorsque le débiteur n’habite pas en Suisse et qu’il n’y a pas d’autre cas de séquestre, pour autant que la créance ait un lien suffisant avec la Suisse ou qu’elle se fonde sur une reconnaissance de dette au sens de l’art. 82 al. 1 LP (ch. 4), ou lorsque le créancier possède contre le débiteur un titre de mainlevée définitive (ch. 6). Les créances de salaire d'un frontalier qui travaille en Suisse peuvent être séquestrées au siège suisse de l'employeur (ATF 114 III 31, consid. 2).</w:t>
      </w:r>
    </w:p>
    <w:p>
      <w:r>
        <w:rPr>
          <w:b/>
        </w:rPr>
        <w:t>E. 2.2</w:t>
      </w:r>
    </w:p>
    <w:p>
      <w:r>
        <w:t>En l'espèce, le recourant n'a pas indiqué dans sa requête de séquestre l'adresse du débiteur et n'a produit devant le Tribunal aucun titre permettant de rendre vraisemblable l'existence de biens du débiteur en Suisse, comme l'a relevé à juste titre le premier juge, sans que le recourant ne le conteste dans son recours. Ce dernier a produit une pièce devant la Cour afin de réparer son omission à cet égard, laquelle est toutefois irrecevable (cf. supra consid. 1.4.2), de sorte qu'il ne peut en être tenu compte. Pour le surplus, le fait de refuser un séquestre qui ne répond pas aux conditions légales n'heurte pas de manière choquante le sentiment de la justice et de l'équité, contrairement à ce que soutient le recourant et celui-ci pourra renouveler sa requête devant le Tribunal s'il s'y estime fondé. Au vu de ce qui précède, c'est à bon droit que le Tribunal a rejeté la requête de séquestre et le recours sera dès lors rejeté.</w:t>
      </w:r>
    </w:p>
    <w:p>
      <w:r>
        <w:rPr>
          <w:b/>
        </w:rPr>
        <w:t>E. 3</w:t>
      </w:r>
    </w:p>
    <w:p>
      <w:r>
        <w:t>Le recourant, qui succombe, sera condamné aux frais judiciaires du recours, arrêtés à 300 fr. (art. 48 et 61 al. 1 OELP). * * * * *</w:t>
      </w:r>
    </w:p>
    <w:p>
      <w:r>
        <w:t>- 5/5 -</w:t>
      </w:r>
    </w:p>
    <w:p>
      <w:r>
        <w:t>C/9568/2022 PAR CES MOTIFS, La Chambre civile : A la forme : Déclare recevable le recours interjeté le 10 juin 2022 par ETAT DE FRIBOURG, BUREAU DE LA TAXE D'EXEMPTION DE L'OBLIGATION DE SERVIR contre l'ordonnance SQ/388/2022 rendue le 27 mai 2022 par le Tribunal de première instance dans la cause C/9568/2022-25 SQP. Au fond : Rejette ce recours. Déboute l'ETAT DE FRIBOURG de toute autre conclusion. Sur les frais : Arrête les frais judicaires à 300 fr., les met à la charge de l'ETAT DE FRIBOURG et dit qu'ils sont compensés avec l'avance fournie, qui reste acquise à l'Etat de Genève. Siégeant : Monsieur Laurent RIEBEN, président; Madame Fabienne GEISINGER-MARIETHOZ, Monsieur Ivo BUETTI, juges; Madame Laura SESSA, greffière. Le président : Laurent RIEBEN</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